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74FDA" w14:textId="0B3FBFF4" w:rsidR="002813DB" w:rsidRDefault="002813DB" w:rsidP="00794C1E">
      <w:pPr>
        <w:pStyle w:val="NormalWeb"/>
        <w:jc w:val="center"/>
        <w:rPr>
          <w:rStyle w:val="Strong"/>
          <w:rFonts w:ascii="Arial" w:eastAsiaTheme="majorEastAsia" w:hAnsi="Arial" w:cs="Arial"/>
          <w:sz w:val="22"/>
          <w:szCs w:val="22"/>
          <w:u w:val="single"/>
        </w:rPr>
      </w:pPr>
      <w:bookmarkStart w:id="0" w:name="_Hlk180654529"/>
      <w:r>
        <w:rPr>
          <w:noProof/>
        </w:rPr>
        <w:drawing>
          <wp:inline distT="0" distB="0" distL="0" distR="0" wp14:anchorId="2DCA32AE" wp14:editId="27B3ABC4">
            <wp:extent cx="5486400" cy="5731510"/>
            <wp:effectExtent l="0" t="0" r="0" b="2540"/>
            <wp:docPr id="901145575" name="Picture 1" descr="A group of people walk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45575" name="Picture 1" descr="A group of people walking in a roo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5731510"/>
                    </a:xfrm>
                    <a:prstGeom prst="rect">
                      <a:avLst/>
                    </a:prstGeom>
                    <a:noFill/>
                    <a:ln>
                      <a:noFill/>
                    </a:ln>
                  </pic:spPr>
                </pic:pic>
              </a:graphicData>
            </a:graphic>
          </wp:inline>
        </w:drawing>
      </w:r>
    </w:p>
    <w:p w14:paraId="01247F08" w14:textId="3DD73FCC" w:rsidR="009F168A" w:rsidRPr="00B33CFA" w:rsidRDefault="009F168A" w:rsidP="000D4755">
      <w:pPr>
        <w:pStyle w:val="NormalWeb"/>
        <w:rPr>
          <w:rStyle w:val="Strong"/>
          <w:rFonts w:ascii="Arial" w:eastAsiaTheme="majorEastAsia" w:hAnsi="Arial" w:cs="Arial"/>
          <w:u w:val="single"/>
        </w:rPr>
      </w:pPr>
      <w:r w:rsidRPr="00B33CFA">
        <w:rPr>
          <w:rStyle w:val="Strong"/>
          <w:rFonts w:ascii="Arial" w:eastAsiaTheme="majorEastAsia" w:hAnsi="Arial" w:cs="Arial"/>
          <w:u w:val="single"/>
        </w:rPr>
        <w:lastRenderedPageBreak/>
        <w:t>Introduction</w:t>
      </w:r>
    </w:p>
    <w:p w14:paraId="536BE781" w14:textId="0F1078BA" w:rsidR="000D4755" w:rsidRPr="00B33CFA" w:rsidRDefault="00B33CFA" w:rsidP="000D4755">
      <w:pPr>
        <w:pStyle w:val="NormalWeb"/>
        <w:rPr>
          <w:rStyle w:val="Strong"/>
          <w:rFonts w:ascii="Arial" w:eastAsiaTheme="majorEastAsia" w:hAnsi="Arial" w:cs="Arial"/>
          <w:b w:val="0"/>
          <w:bCs w:val="0"/>
        </w:rPr>
      </w:pPr>
      <w:r w:rsidRPr="00B33CFA">
        <w:rPr>
          <w:rStyle w:val="Strong"/>
          <w:rFonts w:ascii="Arial" w:eastAsiaTheme="majorEastAsia" w:hAnsi="Arial" w:cs="Arial"/>
          <w:b w:val="0"/>
          <w:bCs w:val="0"/>
        </w:rPr>
        <w:t xml:space="preserve">The </w:t>
      </w:r>
      <w:r w:rsidR="009F168A" w:rsidRPr="00B33CFA">
        <w:rPr>
          <w:rStyle w:val="Strong"/>
          <w:rFonts w:ascii="Arial" w:eastAsiaTheme="majorEastAsia" w:hAnsi="Arial" w:cs="Arial"/>
          <w:b w:val="0"/>
          <w:bCs w:val="0"/>
        </w:rPr>
        <w:t>Shrewsbury and Telfor</w:t>
      </w:r>
      <w:r w:rsidRPr="00B33CFA">
        <w:rPr>
          <w:rStyle w:val="Strong"/>
          <w:rFonts w:ascii="Arial" w:eastAsiaTheme="majorEastAsia" w:hAnsi="Arial" w:cs="Arial"/>
          <w:b w:val="0"/>
          <w:bCs w:val="0"/>
        </w:rPr>
        <w:t xml:space="preserve">d Hospital </w:t>
      </w:r>
      <w:r w:rsidR="009F168A" w:rsidRPr="00B33CFA">
        <w:rPr>
          <w:rStyle w:val="Strong"/>
          <w:rFonts w:ascii="Arial" w:eastAsiaTheme="majorEastAsia" w:hAnsi="Arial" w:cs="Arial"/>
          <w:b w:val="0"/>
          <w:bCs w:val="0"/>
        </w:rPr>
        <w:t xml:space="preserve">NHS Trust </w:t>
      </w:r>
      <w:r w:rsidR="00B60302" w:rsidRPr="00B33CFA">
        <w:rPr>
          <w:rStyle w:val="Strong"/>
          <w:rFonts w:ascii="Arial" w:eastAsiaTheme="majorEastAsia" w:hAnsi="Arial" w:cs="Arial"/>
          <w:b w:val="0"/>
          <w:bCs w:val="0"/>
        </w:rPr>
        <w:t>are</w:t>
      </w:r>
      <w:r w:rsidR="000D4755" w:rsidRPr="00B33CFA">
        <w:rPr>
          <w:rStyle w:val="Strong"/>
          <w:rFonts w:ascii="Arial" w:eastAsiaTheme="majorEastAsia" w:hAnsi="Arial" w:cs="Arial"/>
          <w:b w:val="0"/>
          <w:bCs w:val="0"/>
        </w:rPr>
        <w:t xml:space="preserve"> one of the region's largest employers</w:t>
      </w:r>
      <w:r w:rsidR="009F168A" w:rsidRPr="00B33CFA">
        <w:rPr>
          <w:rStyle w:val="Strong"/>
          <w:rFonts w:ascii="Arial" w:eastAsiaTheme="majorEastAsia" w:hAnsi="Arial" w:cs="Arial"/>
          <w:b w:val="0"/>
          <w:bCs w:val="0"/>
        </w:rPr>
        <w:t>. W</w:t>
      </w:r>
      <w:r w:rsidR="000D4755" w:rsidRPr="00B33CFA">
        <w:rPr>
          <w:rStyle w:val="Strong"/>
          <w:rFonts w:ascii="Arial" w:eastAsiaTheme="majorEastAsia" w:hAnsi="Arial" w:cs="Arial"/>
          <w:b w:val="0"/>
          <w:bCs w:val="0"/>
        </w:rPr>
        <w:t>e</w:t>
      </w:r>
      <w:r w:rsidR="009F168A" w:rsidRPr="00B33CFA">
        <w:rPr>
          <w:rStyle w:val="Strong"/>
          <w:rFonts w:ascii="Arial" w:eastAsiaTheme="majorEastAsia" w:hAnsi="Arial" w:cs="Arial"/>
          <w:b w:val="0"/>
          <w:bCs w:val="0"/>
        </w:rPr>
        <w:t xml:space="preserve"> a</w:t>
      </w:r>
      <w:r w:rsidR="000D4755" w:rsidRPr="00B33CFA">
        <w:rPr>
          <w:rStyle w:val="Strong"/>
          <w:rFonts w:ascii="Arial" w:eastAsiaTheme="majorEastAsia" w:hAnsi="Arial" w:cs="Arial"/>
          <w:b w:val="0"/>
          <w:bCs w:val="0"/>
        </w:rPr>
        <w:t xml:space="preserve">re proud to have a diverse workforce of 8096 substantive colleagues, expanding to </w:t>
      </w:r>
      <w:r w:rsidR="0063698D" w:rsidRPr="00B33CFA">
        <w:rPr>
          <w:rStyle w:val="Strong"/>
          <w:rFonts w:ascii="Arial" w:eastAsiaTheme="majorEastAsia" w:hAnsi="Arial" w:cs="Arial"/>
          <w:b w:val="0"/>
          <w:bCs w:val="0"/>
        </w:rPr>
        <w:t>9582</w:t>
      </w:r>
      <w:r w:rsidR="000D4755" w:rsidRPr="00B33CFA">
        <w:rPr>
          <w:rStyle w:val="Strong"/>
          <w:rFonts w:ascii="Arial" w:eastAsiaTheme="majorEastAsia" w:hAnsi="Arial" w:cs="Arial"/>
          <w:b w:val="0"/>
          <w:bCs w:val="0"/>
        </w:rPr>
        <w:t xml:space="preserve"> when including bank workers. </w:t>
      </w:r>
    </w:p>
    <w:p w14:paraId="6A87C692" w14:textId="27470521" w:rsidR="009F168A" w:rsidRPr="00B33CFA" w:rsidRDefault="009F168A" w:rsidP="009F168A">
      <w:pPr>
        <w:pStyle w:val="NormalWeb"/>
        <w:rPr>
          <w:rFonts w:ascii="Arial" w:hAnsi="Arial" w:cs="Arial"/>
        </w:rPr>
      </w:pPr>
      <w:r w:rsidRPr="00B33CFA">
        <w:rPr>
          <w:rFonts w:ascii="Arial" w:hAnsi="Arial" w:cs="Arial"/>
        </w:rPr>
        <w:t>The Shrewsbury and Telford Hospital NHS Trust is the main provider of district general hospital services for nearly half a million people in Shropshire, Telford &amp; Wrekin and mid Wales. Our main service locations are the Princess Royal Hospital in Telford and the Royal Shrewsbury Hospital in Shrewsbury, which together provide 99% of our activity.</w:t>
      </w:r>
    </w:p>
    <w:p w14:paraId="3EB69508" w14:textId="77777777" w:rsidR="009F168A" w:rsidRPr="00B33CFA" w:rsidRDefault="009F168A" w:rsidP="009F168A">
      <w:pPr>
        <w:pStyle w:val="NormalWeb"/>
        <w:rPr>
          <w:rStyle w:val="Strong"/>
          <w:rFonts w:ascii="Arial" w:eastAsiaTheme="majorEastAsia" w:hAnsi="Arial" w:cs="Arial"/>
          <w:b w:val="0"/>
          <w:bCs w:val="0"/>
        </w:rPr>
      </w:pPr>
      <w:r w:rsidRPr="00B33CFA">
        <w:rPr>
          <w:rFonts w:ascii="Arial" w:hAnsi="Arial" w:cs="Arial"/>
        </w:rPr>
        <w:t xml:space="preserve">Both hospitals provide a wide range of acute hospital services including accident &amp; </w:t>
      </w:r>
      <w:r w:rsidRPr="00B33CFA">
        <w:rPr>
          <w:rFonts w:ascii="Arial" w:hAnsi="Arial" w:cs="Arial"/>
          <w:shd w:val="clear" w:color="auto" w:fill="FFFFFF"/>
        </w:rPr>
        <w:t>emergency, outpatients, diagnostics, inpatient medical care and critical care.</w:t>
      </w:r>
      <w:r w:rsidRPr="00B33CFA">
        <w:rPr>
          <w:rStyle w:val="Strong"/>
          <w:rFonts w:ascii="Arial" w:eastAsiaTheme="majorEastAsia" w:hAnsi="Arial" w:cs="Arial"/>
          <w:b w:val="0"/>
          <w:bCs w:val="0"/>
        </w:rPr>
        <w:t xml:space="preserve"> </w:t>
      </w:r>
    </w:p>
    <w:p w14:paraId="0519A4FC" w14:textId="2D3754A2" w:rsidR="009F168A" w:rsidRPr="00B33CFA" w:rsidRDefault="009F168A" w:rsidP="009F168A">
      <w:pPr>
        <w:pStyle w:val="NormalWeb"/>
        <w:rPr>
          <w:rStyle w:val="Strong"/>
          <w:rFonts w:ascii="Arial" w:eastAsiaTheme="majorEastAsia" w:hAnsi="Arial" w:cs="Arial"/>
          <w:b w:val="0"/>
          <w:bCs w:val="0"/>
        </w:rPr>
      </w:pPr>
      <w:r w:rsidRPr="00B33CFA">
        <w:rPr>
          <w:rStyle w:val="Strong"/>
          <w:rFonts w:ascii="Arial" w:eastAsiaTheme="majorEastAsia" w:hAnsi="Arial" w:cs="Arial"/>
          <w:b w:val="0"/>
          <w:bCs w:val="0"/>
        </w:rPr>
        <w:t>We are committed to reflecting the communities we serve and fostering strong partnerships within our healthcare network.</w:t>
      </w:r>
    </w:p>
    <w:p w14:paraId="6D9D1B0C" w14:textId="477F4110" w:rsidR="000D4755" w:rsidRPr="00B33CFA" w:rsidRDefault="000D4755" w:rsidP="000D4755">
      <w:pPr>
        <w:pStyle w:val="NormalWeb"/>
        <w:rPr>
          <w:rStyle w:val="Strong"/>
          <w:rFonts w:ascii="Arial" w:eastAsiaTheme="majorEastAsia" w:hAnsi="Arial" w:cs="Arial"/>
          <w:b w:val="0"/>
          <w:bCs w:val="0"/>
        </w:rPr>
      </w:pPr>
      <w:r w:rsidRPr="00B33CFA">
        <w:rPr>
          <w:rStyle w:val="Strong"/>
          <w:rFonts w:ascii="Arial" w:eastAsiaTheme="majorEastAsia" w:hAnsi="Arial" w:cs="Arial"/>
          <w:b w:val="0"/>
          <w:bCs w:val="0"/>
        </w:rPr>
        <w:t>To attract and retain top talent, we offer a wide range of career opportunities across all professional groups and levels. We are dedicated to creating an inclusive workplace where everyone feels valued and supported. By regularly reviewing our gender pay gap, we</w:t>
      </w:r>
      <w:r w:rsidR="0011158C" w:rsidRPr="00B33CFA">
        <w:rPr>
          <w:rStyle w:val="Strong"/>
          <w:rFonts w:ascii="Arial" w:eastAsiaTheme="majorEastAsia" w:hAnsi="Arial" w:cs="Arial"/>
          <w:b w:val="0"/>
          <w:bCs w:val="0"/>
        </w:rPr>
        <w:t xml:space="preserve"> a</w:t>
      </w:r>
      <w:r w:rsidRPr="00B33CFA">
        <w:rPr>
          <w:rStyle w:val="Strong"/>
          <w:rFonts w:ascii="Arial" w:eastAsiaTheme="majorEastAsia" w:hAnsi="Arial" w:cs="Arial"/>
          <w:b w:val="0"/>
          <w:bCs w:val="0"/>
        </w:rPr>
        <w:t xml:space="preserve">re actively working to address any inequalities and ensure a fair and equitable environment for </w:t>
      </w:r>
      <w:r w:rsidR="00B60302" w:rsidRPr="00B33CFA">
        <w:rPr>
          <w:rStyle w:val="Strong"/>
          <w:rFonts w:ascii="Arial" w:eastAsiaTheme="majorEastAsia" w:hAnsi="Arial" w:cs="Arial"/>
          <w:b w:val="0"/>
          <w:bCs w:val="0"/>
        </w:rPr>
        <w:t>all.</w:t>
      </w:r>
    </w:p>
    <w:p w14:paraId="3F239DBC" w14:textId="77777777" w:rsidR="000D4755" w:rsidRPr="00B33CFA" w:rsidRDefault="000D4755" w:rsidP="000D4755">
      <w:pPr>
        <w:pStyle w:val="NormalWeb"/>
        <w:rPr>
          <w:rFonts w:ascii="Arial" w:hAnsi="Arial" w:cs="Arial"/>
          <w:u w:val="single"/>
        </w:rPr>
      </w:pPr>
      <w:r w:rsidRPr="00B33CFA">
        <w:rPr>
          <w:rStyle w:val="Strong"/>
          <w:rFonts w:ascii="Arial" w:eastAsiaTheme="majorEastAsia" w:hAnsi="Arial" w:cs="Arial"/>
          <w:u w:val="single"/>
        </w:rPr>
        <w:t>Background.</w:t>
      </w:r>
    </w:p>
    <w:p w14:paraId="5467113C" w14:textId="322F0949" w:rsidR="000D4755" w:rsidRPr="00B33CFA" w:rsidRDefault="000D4755" w:rsidP="000D4755">
      <w:pPr>
        <w:rPr>
          <w:rFonts w:ascii="Arial" w:hAnsi="Arial" w:cs="Arial"/>
          <w:sz w:val="24"/>
          <w:szCs w:val="24"/>
        </w:rPr>
      </w:pPr>
      <w:r w:rsidRPr="00B33CFA">
        <w:rPr>
          <w:rFonts w:ascii="Arial" w:hAnsi="Arial" w:cs="Arial"/>
          <w:sz w:val="24"/>
          <w:szCs w:val="24"/>
        </w:rPr>
        <w:t xml:space="preserve">Gender </w:t>
      </w:r>
      <w:proofErr w:type="gramStart"/>
      <w:r w:rsidRPr="00B33CFA">
        <w:rPr>
          <w:rFonts w:ascii="Arial" w:hAnsi="Arial" w:cs="Arial"/>
          <w:sz w:val="24"/>
          <w:szCs w:val="24"/>
        </w:rPr>
        <w:t>pay</w:t>
      </w:r>
      <w:proofErr w:type="gramEnd"/>
      <w:r w:rsidRPr="00B33CFA">
        <w:rPr>
          <w:rFonts w:ascii="Arial" w:hAnsi="Arial" w:cs="Arial"/>
          <w:sz w:val="24"/>
          <w:szCs w:val="24"/>
        </w:rPr>
        <w:t xml:space="preserve"> reporting is mandatory under UK law (Equality Act 2010). Th</w:t>
      </w:r>
      <w:r w:rsidR="00694D37" w:rsidRPr="00B33CFA">
        <w:rPr>
          <w:rFonts w:ascii="Arial" w:hAnsi="Arial" w:cs="Arial"/>
          <w:sz w:val="24"/>
          <w:szCs w:val="24"/>
        </w:rPr>
        <w:t>is report</w:t>
      </w:r>
      <w:r w:rsidRPr="00B33CFA">
        <w:rPr>
          <w:rFonts w:ascii="Arial" w:hAnsi="Arial" w:cs="Arial"/>
          <w:sz w:val="24"/>
          <w:szCs w:val="24"/>
        </w:rPr>
        <w:t xml:space="preserve"> data illustrates the earnings gap between male and female employees at our organisation.</w:t>
      </w:r>
    </w:p>
    <w:p w14:paraId="170E146A" w14:textId="684F1050" w:rsidR="009F168A" w:rsidRPr="00B33CFA" w:rsidRDefault="009F168A" w:rsidP="000D4755">
      <w:pPr>
        <w:rPr>
          <w:rFonts w:ascii="Arial" w:hAnsi="Arial" w:cs="Arial"/>
          <w:sz w:val="24"/>
          <w:szCs w:val="24"/>
        </w:rPr>
      </w:pPr>
      <w:r w:rsidRPr="00B33CFA">
        <w:rPr>
          <w:rFonts w:ascii="Arial" w:hAnsi="Arial" w:cs="Arial"/>
          <w:sz w:val="24"/>
          <w:szCs w:val="24"/>
        </w:rPr>
        <w:t xml:space="preserve">The gender </w:t>
      </w:r>
      <w:proofErr w:type="gramStart"/>
      <w:r w:rsidRPr="00B33CFA">
        <w:rPr>
          <w:rFonts w:ascii="Arial" w:hAnsi="Arial" w:cs="Arial"/>
          <w:sz w:val="24"/>
          <w:szCs w:val="24"/>
        </w:rPr>
        <w:t>pay</w:t>
      </w:r>
      <w:proofErr w:type="gramEnd"/>
      <w:r w:rsidRPr="00B33CFA">
        <w:rPr>
          <w:rFonts w:ascii="Arial" w:hAnsi="Arial" w:cs="Arial"/>
          <w:sz w:val="24"/>
          <w:szCs w:val="24"/>
        </w:rPr>
        <w:t xml:space="preserve"> gap shows the difference in the average hourly rate of pay between men and women. A gender pay gap can be driven by </w:t>
      </w:r>
      <w:r w:rsidR="0011158C" w:rsidRPr="00B33CFA">
        <w:rPr>
          <w:rFonts w:ascii="Arial" w:hAnsi="Arial" w:cs="Arial"/>
          <w:sz w:val="24"/>
          <w:szCs w:val="24"/>
        </w:rPr>
        <w:t>several</w:t>
      </w:r>
      <w:r w:rsidRPr="00B33CFA">
        <w:rPr>
          <w:rFonts w:ascii="Arial" w:hAnsi="Arial" w:cs="Arial"/>
          <w:sz w:val="24"/>
          <w:szCs w:val="24"/>
        </w:rPr>
        <w:t xml:space="preserve"> factors including, crucially</w:t>
      </w:r>
      <w:r w:rsidR="00AE2AE7" w:rsidRPr="00B33CFA">
        <w:rPr>
          <w:rFonts w:ascii="Arial" w:hAnsi="Arial" w:cs="Arial"/>
          <w:sz w:val="24"/>
          <w:szCs w:val="24"/>
        </w:rPr>
        <w:t xml:space="preserve">, underrepresentation of women in senior positions. </w:t>
      </w:r>
    </w:p>
    <w:p w14:paraId="110CFFC5" w14:textId="77777777" w:rsidR="000D4755" w:rsidRPr="00B33CFA" w:rsidRDefault="000D4755" w:rsidP="000D4755">
      <w:pPr>
        <w:rPr>
          <w:rFonts w:ascii="Arial" w:hAnsi="Arial" w:cs="Arial"/>
          <w:sz w:val="24"/>
          <w:szCs w:val="24"/>
        </w:rPr>
      </w:pPr>
      <w:r w:rsidRPr="00B33CFA">
        <w:rPr>
          <w:rFonts w:ascii="Arial" w:hAnsi="Arial" w:cs="Arial"/>
          <w:sz w:val="24"/>
          <w:szCs w:val="24"/>
        </w:rPr>
        <w:t>We use this information to assess:</w:t>
      </w:r>
    </w:p>
    <w:p w14:paraId="3ABCDB4B" w14:textId="77777777" w:rsidR="000D4755" w:rsidRPr="00B33CFA" w:rsidRDefault="000D4755" w:rsidP="000D4755">
      <w:pPr>
        <w:numPr>
          <w:ilvl w:val="0"/>
          <w:numId w:val="1"/>
        </w:numPr>
        <w:rPr>
          <w:rFonts w:ascii="Arial" w:hAnsi="Arial" w:cs="Arial"/>
          <w:sz w:val="24"/>
          <w:szCs w:val="24"/>
        </w:rPr>
      </w:pPr>
      <w:r w:rsidRPr="00B33CFA">
        <w:rPr>
          <w:rFonts w:ascii="Arial" w:hAnsi="Arial" w:cs="Arial"/>
          <w:sz w:val="24"/>
          <w:szCs w:val="24"/>
        </w:rPr>
        <w:t>Gender equality across our workforce</w:t>
      </w:r>
    </w:p>
    <w:p w14:paraId="7A35A4F5" w14:textId="77777777" w:rsidR="000D4755" w:rsidRPr="00B33CFA" w:rsidRDefault="000D4755" w:rsidP="000D4755">
      <w:pPr>
        <w:numPr>
          <w:ilvl w:val="0"/>
          <w:numId w:val="1"/>
        </w:numPr>
        <w:rPr>
          <w:rFonts w:ascii="Arial" w:hAnsi="Arial" w:cs="Arial"/>
          <w:sz w:val="24"/>
          <w:szCs w:val="24"/>
        </w:rPr>
      </w:pPr>
      <w:r w:rsidRPr="00B33CFA">
        <w:rPr>
          <w:rFonts w:ascii="Arial" w:hAnsi="Arial" w:cs="Arial"/>
          <w:sz w:val="24"/>
          <w:szCs w:val="24"/>
        </w:rPr>
        <w:t>Representation of men and women at different pay levels</w:t>
      </w:r>
    </w:p>
    <w:p w14:paraId="77064D9A" w14:textId="4CF8C7F7" w:rsidR="000D4755" w:rsidRPr="00B33CFA" w:rsidRDefault="000D4755" w:rsidP="000D4755">
      <w:pPr>
        <w:numPr>
          <w:ilvl w:val="0"/>
          <w:numId w:val="1"/>
        </w:numPr>
        <w:rPr>
          <w:rFonts w:ascii="Arial" w:hAnsi="Arial" w:cs="Arial"/>
          <w:sz w:val="24"/>
          <w:szCs w:val="24"/>
        </w:rPr>
      </w:pPr>
      <w:r w:rsidRPr="00B33CFA">
        <w:rPr>
          <w:rFonts w:ascii="Arial" w:hAnsi="Arial" w:cs="Arial"/>
          <w:sz w:val="24"/>
          <w:szCs w:val="24"/>
        </w:rPr>
        <w:t xml:space="preserve">Our effectiveness in recognising and rewarding </w:t>
      </w:r>
      <w:r w:rsidR="00B60302" w:rsidRPr="00B33CFA">
        <w:rPr>
          <w:rFonts w:ascii="Arial" w:hAnsi="Arial" w:cs="Arial"/>
          <w:sz w:val="24"/>
          <w:szCs w:val="24"/>
        </w:rPr>
        <w:t>talent.</w:t>
      </w:r>
    </w:p>
    <w:p w14:paraId="47DBFDDD" w14:textId="0A410E67" w:rsidR="000D4755" w:rsidRPr="00B33CFA" w:rsidRDefault="000D4755" w:rsidP="000D4755">
      <w:pPr>
        <w:rPr>
          <w:rFonts w:ascii="Arial" w:hAnsi="Arial" w:cs="Arial"/>
          <w:b/>
          <w:bCs/>
          <w:sz w:val="24"/>
          <w:szCs w:val="24"/>
        </w:rPr>
      </w:pPr>
      <w:r w:rsidRPr="00B33CFA">
        <w:rPr>
          <w:rFonts w:ascii="Arial" w:hAnsi="Arial" w:cs="Arial"/>
          <w:b/>
          <w:bCs/>
          <w:sz w:val="24"/>
          <w:szCs w:val="24"/>
        </w:rPr>
        <w:lastRenderedPageBreak/>
        <w:t>Important points of note:</w:t>
      </w:r>
    </w:p>
    <w:p w14:paraId="5DA6D6EF" w14:textId="77777777" w:rsidR="000D4755" w:rsidRPr="00B33CFA" w:rsidRDefault="000D4755" w:rsidP="000D4755">
      <w:pPr>
        <w:numPr>
          <w:ilvl w:val="0"/>
          <w:numId w:val="2"/>
        </w:numPr>
        <w:rPr>
          <w:rFonts w:ascii="Arial" w:hAnsi="Arial" w:cs="Arial"/>
          <w:sz w:val="24"/>
          <w:szCs w:val="24"/>
        </w:rPr>
      </w:pPr>
      <w:r w:rsidRPr="00B33CFA">
        <w:rPr>
          <w:rFonts w:ascii="Arial" w:hAnsi="Arial" w:cs="Arial"/>
          <w:b/>
          <w:bCs/>
          <w:sz w:val="24"/>
          <w:szCs w:val="24"/>
        </w:rPr>
        <w:t xml:space="preserve">Gender </w:t>
      </w:r>
      <w:proofErr w:type="gramStart"/>
      <w:r w:rsidRPr="00B33CFA">
        <w:rPr>
          <w:rFonts w:ascii="Arial" w:hAnsi="Arial" w:cs="Arial"/>
          <w:b/>
          <w:bCs/>
          <w:sz w:val="24"/>
          <w:szCs w:val="24"/>
        </w:rPr>
        <w:t>pay</w:t>
      </w:r>
      <w:proofErr w:type="gramEnd"/>
      <w:r w:rsidRPr="00B33CFA">
        <w:rPr>
          <w:rFonts w:ascii="Arial" w:hAnsi="Arial" w:cs="Arial"/>
          <w:b/>
          <w:bCs/>
          <w:sz w:val="24"/>
          <w:szCs w:val="24"/>
        </w:rPr>
        <w:t xml:space="preserve"> gap is not the same as unequal pay.</w:t>
      </w:r>
      <w:r w:rsidRPr="00B33CFA">
        <w:rPr>
          <w:rFonts w:ascii="Arial" w:hAnsi="Arial" w:cs="Arial"/>
          <w:sz w:val="24"/>
          <w:szCs w:val="24"/>
        </w:rPr>
        <w:t xml:space="preserve"> Equal pay for equal work is a separate legal requirement.</w:t>
      </w:r>
    </w:p>
    <w:p w14:paraId="64906BE2" w14:textId="77777777" w:rsidR="000D4755" w:rsidRPr="00B33CFA" w:rsidRDefault="000D4755" w:rsidP="000D4755">
      <w:pPr>
        <w:numPr>
          <w:ilvl w:val="0"/>
          <w:numId w:val="2"/>
        </w:numPr>
        <w:rPr>
          <w:rFonts w:ascii="Arial" w:hAnsi="Arial" w:cs="Arial"/>
          <w:sz w:val="24"/>
          <w:szCs w:val="24"/>
        </w:rPr>
      </w:pPr>
      <w:r w:rsidRPr="00B33CFA">
        <w:rPr>
          <w:rFonts w:ascii="Arial" w:hAnsi="Arial" w:cs="Arial"/>
          <w:b/>
          <w:bCs/>
          <w:sz w:val="24"/>
          <w:szCs w:val="24"/>
        </w:rPr>
        <w:t>Our current records do not include non-binary gender identities</w:t>
      </w:r>
      <w:r w:rsidRPr="00B33CFA">
        <w:rPr>
          <w:rFonts w:ascii="Arial" w:hAnsi="Arial" w:cs="Arial"/>
          <w:sz w:val="24"/>
          <w:szCs w:val="24"/>
        </w:rPr>
        <w:t>. We fully acknowledge and respect the diversity of gender identities, including non-binary and transgender individuals.</w:t>
      </w:r>
    </w:p>
    <w:p w14:paraId="68B38FA3" w14:textId="154E5250" w:rsidR="000D4755" w:rsidRPr="00B33CFA" w:rsidRDefault="000D4755" w:rsidP="00694D37">
      <w:pPr>
        <w:pStyle w:val="ListParagraph"/>
        <w:numPr>
          <w:ilvl w:val="0"/>
          <w:numId w:val="19"/>
        </w:numPr>
        <w:autoSpaceDE w:val="0"/>
        <w:autoSpaceDN w:val="0"/>
        <w:adjustRightInd w:val="0"/>
        <w:spacing w:after="0" w:line="240" w:lineRule="auto"/>
        <w:rPr>
          <w:rFonts w:ascii="Arial" w:hAnsi="Arial" w:cs="Arial"/>
          <w:kern w:val="0"/>
          <w:sz w:val="24"/>
          <w:szCs w:val="24"/>
        </w:rPr>
      </w:pPr>
      <w:r w:rsidRPr="00B33CFA">
        <w:rPr>
          <w:rFonts w:ascii="Arial" w:hAnsi="Arial" w:cs="Arial"/>
          <w:b/>
          <w:bCs/>
          <w:kern w:val="0"/>
          <w:sz w:val="24"/>
          <w:szCs w:val="24"/>
        </w:rPr>
        <w:t>The</w:t>
      </w:r>
      <w:r w:rsidRPr="00B33CFA">
        <w:rPr>
          <w:rFonts w:ascii="Arial" w:hAnsi="Arial" w:cs="Arial"/>
          <w:kern w:val="0"/>
          <w:sz w:val="24"/>
          <w:szCs w:val="24"/>
        </w:rPr>
        <w:t xml:space="preserve"> </w:t>
      </w:r>
      <w:r w:rsidRPr="00B33CFA">
        <w:rPr>
          <w:rFonts w:ascii="Arial" w:hAnsi="Arial" w:cs="Arial"/>
          <w:b/>
          <w:bCs/>
          <w:kern w:val="0"/>
          <w:sz w:val="24"/>
          <w:szCs w:val="24"/>
        </w:rPr>
        <w:t>public sector deadline for publication of the data</w:t>
      </w:r>
      <w:r w:rsidRPr="00B33CFA">
        <w:rPr>
          <w:rFonts w:ascii="Arial" w:hAnsi="Arial" w:cs="Arial"/>
          <w:kern w:val="0"/>
          <w:sz w:val="24"/>
          <w:szCs w:val="24"/>
        </w:rPr>
        <w:t xml:space="preserve"> is </w:t>
      </w:r>
      <w:r w:rsidR="00BA5EEB" w:rsidRPr="00B33CFA">
        <w:rPr>
          <w:rFonts w:ascii="Arial" w:hAnsi="Arial" w:cs="Arial"/>
          <w:kern w:val="0"/>
          <w:sz w:val="24"/>
          <w:szCs w:val="24"/>
        </w:rPr>
        <w:t>31</w:t>
      </w:r>
      <w:r w:rsidR="00BA5EEB" w:rsidRPr="00B33CFA">
        <w:rPr>
          <w:rFonts w:ascii="Arial" w:hAnsi="Arial" w:cs="Arial"/>
          <w:kern w:val="0"/>
          <w:sz w:val="24"/>
          <w:szCs w:val="24"/>
          <w:vertAlign w:val="superscript"/>
        </w:rPr>
        <w:t>st</w:t>
      </w:r>
      <w:r w:rsidR="00BA5EEB" w:rsidRPr="00B33CFA">
        <w:rPr>
          <w:rFonts w:ascii="Arial" w:hAnsi="Arial" w:cs="Arial"/>
          <w:kern w:val="0"/>
          <w:sz w:val="24"/>
          <w:szCs w:val="24"/>
        </w:rPr>
        <w:t xml:space="preserve"> March </w:t>
      </w:r>
      <w:r w:rsidRPr="00B33CFA">
        <w:rPr>
          <w:rFonts w:ascii="Arial" w:hAnsi="Arial" w:cs="Arial"/>
          <w:kern w:val="0"/>
          <w:sz w:val="24"/>
          <w:szCs w:val="24"/>
        </w:rPr>
        <w:t>each year, with</w:t>
      </w:r>
      <w:r w:rsidR="00694D37" w:rsidRPr="00B33CFA">
        <w:rPr>
          <w:rFonts w:ascii="Arial" w:hAnsi="Arial" w:cs="Arial"/>
          <w:kern w:val="0"/>
          <w:sz w:val="24"/>
          <w:szCs w:val="24"/>
        </w:rPr>
        <w:t xml:space="preserve"> </w:t>
      </w:r>
      <w:r w:rsidRPr="00B33CFA">
        <w:rPr>
          <w:rFonts w:ascii="Arial" w:hAnsi="Arial" w:cs="Arial"/>
          <w:kern w:val="0"/>
          <w:sz w:val="24"/>
          <w:szCs w:val="24"/>
        </w:rPr>
        <w:t>calculations based on a ‘snapshot date’ of the previous 31 March.</w:t>
      </w:r>
    </w:p>
    <w:p w14:paraId="4B9A545A" w14:textId="77777777" w:rsidR="000D4755" w:rsidRPr="00B33CFA" w:rsidRDefault="000D4755" w:rsidP="000D4755">
      <w:pPr>
        <w:autoSpaceDE w:val="0"/>
        <w:autoSpaceDN w:val="0"/>
        <w:adjustRightInd w:val="0"/>
        <w:spacing w:after="0" w:line="240" w:lineRule="auto"/>
        <w:rPr>
          <w:rFonts w:ascii="Arial" w:hAnsi="Arial" w:cs="Arial"/>
          <w:kern w:val="0"/>
          <w:sz w:val="24"/>
          <w:szCs w:val="24"/>
        </w:rPr>
      </w:pPr>
    </w:p>
    <w:p w14:paraId="18FE40AF" w14:textId="429BE287" w:rsidR="009F168A" w:rsidRPr="00B33CFA" w:rsidRDefault="0011158C" w:rsidP="009F168A">
      <w:pPr>
        <w:rPr>
          <w:rFonts w:ascii="Arial" w:hAnsi="Arial" w:cs="Arial"/>
          <w:b/>
          <w:bCs/>
          <w:sz w:val="24"/>
          <w:szCs w:val="24"/>
          <w:u w:val="single"/>
        </w:rPr>
      </w:pPr>
      <w:r w:rsidRPr="00B33CFA">
        <w:rPr>
          <w:rFonts w:ascii="Arial" w:hAnsi="Arial" w:cs="Arial"/>
          <w:b/>
          <w:bCs/>
          <w:sz w:val="24"/>
          <w:szCs w:val="24"/>
          <w:u w:val="single"/>
        </w:rPr>
        <w:t>Our h</w:t>
      </w:r>
      <w:r w:rsidR="009F168A" w:rsidRPr="00B33CFA">
        <w:rPr>
          <w:rFonts w:ascii="Arial" w:hAnsi="Arial" w:cs="Arial"/>
          <w:b/>
          <w:bCs/>
          <w:sz w:val="24"/>
          <w:szCs w:val="24"/>
          <w:u w:val="single"/>
        </w:rPr>
        <w:t>eadline</w:t>
      </w:r>
      <w:r w:rsidRPr="00B33CFA">
        <w:rPr>
          <w:rFonts w:ascii="Arial" w:hAnsi="Arial" w:cs="Arial"/>
          <w:b/>
          <w:bCs/>
          <w:sz w:val="24"/>
          <w:szCs w:val="24"/>
          <w:u w:val="single"/>
        </w:rPr>
        <w:t xml:space="preserve"> Gender Pay Gap</w:t>
      </w:r>
      <w:r w:rsidR="009F168A" w:rsidRPr="00B33CFA">
        <w:rPr>
          <w:rFonts w:ascii="Arial" w:hAnsi="Arial" w:cs="Arial"/>
          <w:b/>
          <w:bCs/>
          <w:sz w:val="24"/>
          <w:szCs w:val="24"/>
          <w:u w:val="single"/>
        </w:rPr>
        <w:t xml:space="preserve"> data</w:t>
      </w:r>
    </w:p>
    <w:p w14:paraId="7AA2EF5C" w14:textId="77777777" w:rsidR="000D4755" w:rsidRPr="00B33CFA" w:rsidRDefault="000D4755" w:rsidP="000D4755">
      <w:pPr>
        <w:autoSpaceDE w:val="0"/>
        <w:autoSpaceDN w:val="0"/>
        <w:adjustRightInd w:val="0"/>
        <w:spacing w:after="0" w:line="240" w:lineRule="auto"/>
        <w:rPr>
          <w:rFonts w:ascii="CIDFont+F3" w:hAnsi="CIDFont+F3" w:cs="CIDFont+F3"/>
          <w:kern w:val="0"/>
          <w:sz w:val="24"/>
          <w:szCs w:val="24"/>
        </w:rPr>
      </w:pPr>
    </w:p>
    <w:p w14:paraId="57C5A77D" w14:textId="1EBEF4C8" w:rsidR="000D4755" w:rsidRPr="00B33CFA" w:rsidRDefault="000D4755" w:rsidP="000D4755">
      <w:pPr>
        <w:pStyle w:val="ListParagraph"/>
        <w:numPr>
          <w:ilvl w:val="0"/>
          <w:numId w:val="18"/>
        </w:numPr>
        <w:autoSpaceDE w:val="0"/>
        <w:autoSpaceDN w:val="0"/>
        <w:adjustRightInd w:val="0"/>
        <w:spacing w:after="0" w:line="240" w:lineRule="auto"/>
        <w:rPr>
          <w:rFonts w:ascii="Arial" w:hAnsi="Arial" w:cs="Arial"/>
          <w:b/>
          <w:bCs/>
          <w:sz w:val="24"/>
          <w:szCs w:val="24"/>
          <w:u w:val="single"/>
        </w:rPr>
      </w:pPr>
      <w:r w:rsidRPr="00B33CFA">
        <w:rPr>
          <w:rFonts w:ascii="Arial" w:hAnsi="Arial" w:cs="Arial"/>
          <w:kern w:val="0"/>
          <w:sz w:val="24"/>
          <w:szCs w:val="24"/>
        </w:rPr>
        <w:t>Our mean gender pay gap is 19.92%. The median gender pay gap is 6.57%</w:t>
      </w:r>
      <w:r w:rsidR="00AB0AEE" w:rsidRPr="00B33CFA">
        <w:rPr>
          <w:rFonts w:ascii="Arial" w:hAnsi="Arial" w:cs="Arial"/>
          <w:kern w:val="0"/>
          <w:sz w:val="24"/>
          <w:szCs w:val="24"/>
        </w:rPr>
        <w:t xml:space="preserve">. This is inclusive of our Medical and Dental colleagues. </w:t>
      </w:r>
    </w:p>
    <w:p w14:paraId="1416D371" w14:textId="77777777" w:rsidR="009F0C1B" w:rsidRDefault="009F0C1B" w:rsidP="009F0C1B">
      <w:pPr>
        <w:autoSpaceDE w:val="0"/>
        <w:autoSpaceDN w:val="0"/>
        <w:adjustRightInd w:val="0"/>
        <w:spacing w:after="0" w:line="240" w:lineRule="auto"/>
        <w:rPr>
          <w:rFonts w:ascii="Arial" w:hAnsi="Arial" w:cs="Arial"/>
          <w:b/>
          <w:bCs/>
          <w:u w:val="single"/>
        </w:rPr>
      </w:pPr>
    </w:p>
    <w:p w14:paraId="279D3299" w14:textId="631415E7" w:rsidR="009F0C1B" w:rsidRPr="009F0C1B" w:rsidRDefault="009F0C1B" w:rsidP="009F0C1B">
      <w:pPr>
        <w:autoSpaceDE w:val="0"/>
        <w:autoSpaceDN w:val="0"/>
        <w:adjustRightInd w:val="0"/>
        <w:spacing w:after="0" w:line="240" w:lineRule="auto"/>
        <w:jc w:val="center"/>
        <w:rPr>
          <w:rFonts w:ascii="Arial" w:hAnsi="Arial" w:cs="Arial"/>
          <w:b/>
          <w:bCs/>
          <w:u w:val="single"/>
        </w:rPr>
      </w:pPr>
      <w:r w:rsidRPr="009F0C1B">
        <w:rPr>
          <w:rFonts w:ascii="Arial" w:hAnsi="Arial" w:cs="Arial"/>
          <w:b/>
          <w:bCs/>
          <w:noProof/>
        </w:rPr>
        <w:drawing>
          <wp:inline distT="0" distB="0" distL="0" distR="0" wp14:anchorId="753640A4" wp14:editId="0F845741">
            <wp:extent cx="4425950" cy="1804670"/>
            <wp:effectExtent l="0" t="0" r="0" b="5080"/>
            <wp:docPr id="192502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5950" cy="1804670"/>
                    </a:xfrm>
                    <a:prstGeom prst="rect">
                      <a:avLst/>
                    </a:prstGeom>
                    <a:noFill/>
                  </pic:spPr>
                </pic:pic>
              </a:graphicData>
            </a:graphic>
          </wp:inline>
        </w:drawing>
      </w:r>
    </w:p>
    <w:p w14:paraId="15E0A0A6" w14:textId="40140248" w:rsidR="000D4755" w:rsidRPr="002520F5" w:rsidRDefault="000D4755" w:rsidP="000D4755">
      <w:pPr>
        <w:rPr>
          <w:rFonts w:ascii="Arial" w:hAnsi="Arial" w:cs="Arial"/>
          <w:b/>
          <w:bCs/>
          <w:u w:val="single"/>
        </w:rPr>
      </w:pPr>
    </w:p>
    <w:bookmarkEnd w:id="0"/>
    <w:p w14:paraId="5FA68599" w14:textId="51A2AD66" w:rsidR="00AB0AEE" w:rsidRPr="00B33CFA" w:rsidRDefault="00AB0AEE" w:rsidP="00AB0AEE">
      <w:pPr>
        <w:rPr>
          <w:rFonts w:ascii="Arial" w:hAnsi="Arial" w:cs="Arial"/>
          <w:b/>
          <w:bCs/>
          <w:sz w:val="24"/>
          <w:szCs w:val="24"/>
          <w:u w:val="single"/>
        </w:rPr>
      </w:pPr>
      <w:r w:rsidRPr="00B33CFA">
        <w:rPr>
          <w:rFonts w:ascii="Arial" w:hAnsi="Arial" w:cs="Arial"/>
          <w:b/>
          <w:bCs/>
          <w:sz w:val="24"/>
          <w:szCs w:val="24"/>
          <w:u w:val="single"/>
        </w:rPr>
        <w:t xml:space="preserve">Mean average Rates of Pay by Gender in </w:t>
      </w:r>
      <w:r w:rsidR="00B33CFA" w:rsidRPr="00B33CFA">
        <w:rPr>
          <w:rFonts w:ascii="Arial" w:hAnsi="Arial" w:cs="Arial"/>
          <w:b/>
          <w:bCs/>
          <w:sz w:val="24"/>
          <w:szCs w:val="24"/>
          <w:u w:val="single"/>
        </w:rPr>
        <w:t>T</w:t>
      </w:r>
      <w:r w:rsidRPr="00B33CFA">
        <w:rPr>
          <w:rFonts w:ascii="Arial" w:hAnsi="Arial" w:cs="Arial"/>
          <w:b/>
          <w:bCs/>
          <w:sz w:val="24"/>
          <w:szCs w:val="24"/>
          <w:u w:val="single"/>
        </w:rPr>
        <w:t>he Shrewsbury and Telford Hospital</w:t>
      </w:r>
      <w:r w:rsidR="00B33CFA" w:rsidRPr="00B33CFA">
        <w:rPr>
          <w:rFonts w:ascii="Arial" w:hAnsi="Arial" w:cs="Arial"/>
          <w:b/>
          <w:bCs/>
          <w:sz w:val="24"/>
          <w:szCs w:val="24"/>
          <w:u w:val="single"/>
        </w:rPr>
        <w:t xml:space="preserve"> NHS Trust</w:t>
      </w:r>
      <w:r w:rsidRPr="00B33CFA">
        <w:rPr>
          <w:rFonts w:ascii="Arial" w:hAnsi="Arial" w:cs="Arial"/>
          <w:b/>
          <w:bCs/>
          <w:sz w:val="24"/>
          <w:szCs w:val="24"/>
          <w:u w:val="single"/>
        </w:rPr>
        <w:t xml:space="preserve"> </w:t>
      </w:r>
      <w:r w:rsidR="00FA3848" w:rsidRPr="00B33CFA">
        <w:rPr>
          <w:rFonts w:ascii="Arial" w:hAnsi="Arial" w:cs="Arial"/>
          <w:b/>
          <w:bCs/>
          <w:sz w:val="24"/>
          <w:szCs w:val="24"/>
          <w:u w:val="single"/>
        </w:rPr>
        <w:t xml:space="preserve">– All staff </w:t>
      </w:r>
      <w:r w:rsidRPr="00B33CFA">
        <w:rPr>
          <w:rFonts w:ascii="Arial" w:hAnsi="Arial" w:cs="Arial"/>
          <w:b/>
          <w:bCs/>
          <w:sz w:val="24"/>
          <w:szCs w:val="24"/>
          <w:u w:val="single"/>
        </w:rPr>
        <w:t>(incl</w:t>
      </w:r>
      <w:r w:rsidR="00AE2AE7" w:rsidRPr="00B33CFA">
        <w:rPr>
          <w:rFonts w:ascii="Arial" w:hAnsi="Arial" w:cs="Arial"/>
          <w:b/>
          <w:bCs/>
          <w:sz w:val="24"/>
          <w:szCs w:val="24"/>
          <w:u w:val="single"/>
        </w:rPr>
        <w:t xml:space="preserve">usive of </w:t>
      </w:r>
      <w:r w:rsidRPr="00B33CFA">
        <w:rPr>
          <w:rFonts w:ascii="Arial" w:hAnsi="Arial" w:cs="Arial"/>
          <w:b/>
          <w:bCs/>
          <w:sz w:val="24"/>
          <w:szCs w:val="24"/>
          <w:u w:val="single"/>
        </w:rPr>
        <w:t>Medical and Dental)</w:t>
      </w:r>
    </w:p>
    <w:p w14:paraId="12602264" w14:textId="714E2810" w:rsidR="00AB0AEE" w:rsidRPr="00B33CFA" w:rsidRDefault="00AB0AEE" w:rsidP="00AB0AEE">
      <w:pPr>
        <w:rPr>
          <w:rFonts w:ascii="Arial" w:hAnsi="Arial" w:cs="Arial"/>
          <w:sz w:val="24"/>
          <w:szCs w:val="24"/>
        </w:rPr>
      </w:pPr>
      <w:r w:rsidRPr="00B33CFA">
        <w:rPr>
          <w:rFonts w:ascii="Arial" w:hAnsi="Arial" w:cs="Arial"/>
          <w:sz w:val="24"/>
          <w:szCs w:val="24"/>
        </w:rPr>
        <w:t xml:space="preserve">To calculate the </w:t>
      </w:r>
      <w:proofErr w:type="gramStart"/>
      <w:r w:rsidRPr="00B33CFA">
        <w:rPr>
          <w:rFonts w:ascii="Arial" w:hAnsi="Arial" w:cs="Arial"/>
          <w:sz w:val="24"/>
          <w:szCs w:val="24"/>
        </w:rPr>
        <w:t>mean</w:t>
      </w:r>
      <w:proofErr w:type="gramEnd"/>
      <w:r w:rsidRPr="00B33CFA">
        <w:rPr>
          <w:rFonts w:ascii="Arial" w:hAnsi="Arial" w:cs="Arial"/>
          <w:sz w:val="24"/>
          <w:szCs w:val="24"/>
        </w:rPr>
        <w:t xml:space="preserve"> pay gap, we add together all the hourly pay rates that women received, divided by the number of women in our workforce. We then repeat this calculation for men. The difference between these figures is the mean gender pay gap</w:t>
      </w:r>
      <w:r w:rsidR="0011158C" w:rsidRPr="00B33CFA">
        <w:rPr>
          <w:rFonts w:ascii="Arial" w:hAnsi="Arial" w:cs="Arial"/>
          <w:sz w:val="24"/>
          <w:szCs w:val="24"/>
        </w:rPr>
        <w:t>.</w:t>
      </w:r>
    </w:p>
    <w:p w14:paraId="0D1407B6" w14:textId="77777777" w:rsidR="00AB0AEE" w:rsidRPr="00B33CFA" w:rsidRDefault="00AB0AEE" w:rsidP="00AB0AEE">
      <w:pPr>
        <w:rPr>
          <w:rFonts w:ascii="Arial" w:hAnsi="Arial" w:cs="Arial"/>
          <w:sz w:val="24"/>
          <w:szCs w:val="24"/>
        </w:rPr>
      </w:pPr>
      <w:r w:rsidRPr="00B33CFA">
        <w:rPr>
          <w:rFonts w:ascii="Arial" w:hAnsi="Arial" w:cs="Arial"/>
          <w:sz w:val="24"/>
          <w:szCs w:val="24"/>
        </w:rPr>
        <w:lastRenderedPageBreak/>
        <w:t>The hourly rate is calculated using "ordinary pay," which includes basic pay, allowances, and shift premium. Our pay rates exceed the national living wage.</w:t>
      </w:r>
    </w:p>
    <w:p w14:paraId="6BFDD79F" w14:textId="086999A6" w:rsidR="000D4755" w:rsidRPr="00B33CFA" w:rsidRDefault="000D4755" w:rsidP="000D4755">
      <w:pPr>
        <w:rPr>
          <w:rFonts w:ascii="Arial" w:hAnsi="Arial" w:cs="Arial"/>
          <w:b/>
          <w:bCs/>
          <w:kern w:val="0"/>
          <w:sz w:val="24"/>
          <w:szCs w:val="24"/>
        </w:rPr>
      </w:pPr>
      <w:bookmarkStart w:id="1" w:name="_Hlk180654569"/>
      <w:r w:rsidRPr="00B33CFA">
        <w:rPr>
          <w:rFonts w:ascii="Arial" w:hAnsi="Arial" w:cs="Arial"/>
          <w:b/>
          <w:bCs/>
          <w:kern w:val="0"/>
          <w:sz w:val="24"/>
          <w:szCs w:val="24"/>
        </w:rPr>
        <w:t xml:space="preserve">This means women earn 80p for every £1 that men earn when comparing mean hourly pay. </w:t>
      </w:r>
    </w:p>
    <w:p w14:paraId="0445F004" w14:textId="74B1363C" w:rsidR="000D4755" w:rsidRDefault="00EF0F77" w:rsidP="00EF0F77">
      <w:pPr>
        <w:jc w:val="center"/>
        <w:rPr>
          <w:rFonts w:ascii="Arial" w:hAnsi="Arial" w:cs="Arial"/>
          <w:b/>
          <w:bCs/>
        </w:rPr>
      </w:pPr>
      <w:r>
        <w:rPr>
          <w:rFonts w:ascii="Arial" w:hAnsi="Arial" w:cs="Arial"/>
          <w:b/>
          <w:bCs/>
          <w:noProof/>
        </w:rPr>
        <w:drawing>
          <wp:inline distT="0" distB="0" distL="0" distR="0" wp14:anchorId="6F289347" wp14:editId="721CD72E">
            <wp:extent cx="4743450" cy="1967092"/>
            <wp:effectExtent l="0" t="0" r="0" b="0"/>
            <wp:docPr id="1287176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4275" cy="1971581"/>
                    </a:xfrm>
                    <a:prstGeom prst="rect">
                      <a:avLst/>
                    </a:prstGeom>
                    <a:noFill/>
                  </pic:spPr>
                </pic:pic>
              </a:graphicData>
            </a:graphic>
          </wp:inline>
        </w:drawing>
      </w:r>
    </w:p>
    <w:p w14:paraId="120D1201" w14:textId="5E63E88B" w:rsidR="00AB0AEE" w:rsidRPr="00B33CFA" w:rsidRDefault="00AB0AEE" w:rsidP="00AB0AEE">
      <w:pPr>
        <w:rPr>
          <w:rFonts w:ascii="Arial" w:hAnsi="Arial" w:cs="Arial"/>
          <w:b/>
          <w:bCs/>
          <w:sz w:val="24"/>
          <w:szCs w:val="24"/>
        </w:rPr>
      </w:pPr>
      <w:r w:rsidRPr="00B33CFA">
        <w:rPr>
          <w:rFonts w:ascii="Arial" w:hAnsi="Arial" w:cs="Arial"/>
          <w:b/>
          <w:bCs/>
          <w:sz w:val="24"/>
          <w:szCs w:val="24"/>
        </w:rPr>
        <w:t xml:space="preserve">Our overall mean pay gap has dropped every year consecutively since 2021. In this </w:t>
      </w:r>
      <w:r w:rsidR="0063698D" w:rsidRPr="00B33CFA">
        <w:rPr>
          <w:rFonts w:ascii="Arial" w:hAnsi="Arial" w:cs="Arial"/>
          <w:b/>
          <w:bCs/>
          <w:sz w:val="24"/>
          <w:szCs w:val="24"/>
        </w:rPr>
        <w:t>4-year</w:t>
      </w:r>
      <w:r w:rsidRPr="00B33CFA">
        <w:rPr>
          <w:rFonts w:ascii="Arial" w:hAnsi="Arial" w:cs="Arial"/>
          <w:b/>
          <w:bCs/>
          <w:sz w:val="24"/>
          <w:szCs w:val="24"/>
        </w:rPr>
        <w:t xml:space="preserve"> period we have seen the gap close by 6.58%</w:t>
      </w:r>
      <w:r w:rsidR="00AE2AE7" w:rsidRPr="00B33CFA">
        <w:rPr>
          <w:rFonts w:ascii="Arial" w:hAnsi="Arial" w:cs="Arial"/>
          <w:b/>
          <w:bCs/>
          <w:sz w:val="24"/>
          <w:szCs w:val="24"/>
        </w:rPr>
        <w:t xml:space="preserve"> and 1.15</w:t>
      </w:r>
      <w:r w:rsidR="0011158C" w:rsidRPr="00B33CFA">
        <w:rPr>
          <w:rFonts w:ascii="Arial" w:hAnsi="Arial" w:cs="Arial"/>
          <w:b/>
          <w:bCs/>
          <w:sz w:val="24"/>
          <w:szCs w:val="24"/>
        </w:rPr>
        <w:t>%</w:t>
      </w:r>
      <w:r w:rsidR="00AE2AE7" w:rsidRPr="00B33CFA">
        <w:rPr>
          <w:rFonts w:ascii="Arial" w:hAnsi="Arial" w:cs="Arial"/>
          <w:b/>
          <w:bCs/>
          <w:sz w:val="24"/>
          <w:szCs w:val="24"/>
        </w:rPr>
        <w:t xml:space="preserve"> year on year. </w:t>
      </w:r>
    </w:p>
    <w:p w14:paraId="48F37F7F" w14:textId="77777777" w:rsidR="00AB0AEE" w:rsidRDefault="004538CA" w:rsidP="00AB0AEE">
      <w:pPr>
        <w:jc w:val="center"/>
        <w:rPr>
          <w:b/>
          <w:bCs/>
          <w:noProof/>
        </w:rPr>
      </w:pPr>
      <w:r>
        <w:rPr>
          <w:rFonts w:ascii="Arial" w:hAnsi="Arial" w:cs="Arial"/>
          <w:b/>
          <w:bCs/>
          <w:noProof/>
        </w:rPr>
        <w:lastRenderedPageBreak/>
        <w:drawing>
          <wp:inline distT="0" distB="0" distL="0" distR="0" wp14:anchorId="00830B6A" wp14:editId="1E1643CD">
            <wp:extent cx="4132609" cy="2828925"/>
            <wp:effectExtent l="0" t="0" r="1270" b="0"/>
            <wp:docPr id="17474780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3464" cy="2843201"/>
                    </a:xfrm>
                    <a:prstGeom prst="rect">
                      <a:avLst/>
                    </a:prstGeom>
                    <a:noFill/>
                  </pic:spPr>
                </pic:pic>
              </a:graphicData>
            </a:graphic>
          </wp:inline>
        </w:drawing>
      </w:r>
    </w:p>
    <w:p w14:paraId="455B9E47" w14:textId="527DBE0B" w:rsidR="0063698D" w:rsidRPr="00B33CFA" w:rsidRDefault="0063698D" w:rsidP="0063698D">
      <w:pPr>
        <w:pStyle w:val="ListParagraph"/>
        <w:numPr>
          <w:ilvl w:val="0"/>
          <w:numId w:val="18"/>
        </w:numPr>
        <w:rPr>
          <w:rFonts w:ascii="Arial" w:hAnsi="Arial" w:cs="Arial"/>
          <w:noProof/>
          <w:kern w:val="0"/>
          <w:sz w:val="24"/>
          <w:szCs w:val="24"/>
        </w:rPr>
      </w:pPr>
      <w:r w:rsidRPr="00B33CFA">
        <w:rPr>
          <w:rFonts w:ascii="Arial" w:hAnsi="Arial" w:cs="Arial"/>
          <w:noProof/>
          <w:kern w:val="0"/>
          <w:sz w:val="24"/>
          <w:szCs w:val="24"/>
        </w:rPr>
        <w:t xml:space="preserve">Female colleagues in positions that are </w:t>
      </w:r>
      <w:r w:rsidR="000253A1" w:rsidRPr="00B33CFA">
        <w:rPr>
          <w:rFonts w:ascii="Arial" w:hAnsi="Arial" w:cs="Arial"/>
          <w:noProof/>
          <w:kern w:val="0"/>
          <w:sz w:val="24"/>
          <w:szCs w:val="24"/>
        </w:rPr>
        <w:t>non Medical and Dental</w:t>
      </w:r>
      <w:r w:rsidRPr="00B33CFA">
        <w:rPr>
          <w:rFonts w:ascii="Arial" w:hAnsi="Arial" w:cs="Arial"/>
          <w:noProof/>
          <w:kern w:val="0"/>
          <w:sz w:val="24"/>
          <w:szCs w:val="24"/>
        </w:rPr>
        <w:t xml:space="preserve"> are paid more than their male counterparts and have been for the last 3 years. </w:t>
      </w:r>
    </w:p>
    <w:p w14:paraId="16E06E13" w14:textId="63007EDB" w:rsidR="0063698D" w:rsidRDefault="0011158C" w:rsidP="0063698D">
      <w:pPr>
        <w:jc w:val="center"/>
        <w:rPr>
          <w:rFonts w:ascii="Arial" w:hAnsi="Arial" w:cs="Arial"/>
          <w:b/>
          <w:bCs/>
          <w:kern w:val="0"/>
        </w:rPr>
      </w:pPr>
      <w:r>
        <w:rPr>
          <w:noProof/>
        </w:rPr>
        <w:drawing>
          <wp:inline distT="0" distB="0" distL="0" distR="0" wp14:anchorId="250F95E4" wp14:editId="3E00DD2E">
            <wp:extent cx="3495341" cy="2165592"/>
            <wp:effectExtent l="0" t="0" r="0" b="6350"/>
            <wp:docPr id="1659548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48844" name=""/>
                    <pic:cNvPicPr/>
                  </pic:nvPicPr>
                  <pic:blipFill>
                    <a:blip r:embed="rId14"/>
                    <a:stretch>
                      <a:fillRect/>
                    </a:stretch>
                  </pic:blipFill>
                  <pic:spPr>
                    <a:xfrm>
                      <a:off x="0" y="0"/>
                      <a:ext cx="3511575" cy="2175650"/>
                    </a:xfrm>
                    <a:prstGeom prst="rect">
                      <a:avLst/>
                    </a:prstGeom>
                  </pic:spPr>
                </pic:pic>
              </a:graphicData>
            </a:graphic>
          </wp:inline>
        </w:drawing>
      </w:r>
    </w:p>
    <w:p w14:paraId="0E83ADA8" w14:textId="31BEE8A4" w:rsidR="006D1459" w:rsidRDefault="006D1459" w:rsidP="0063698D">
      <w:pPr>
        <w:jc w:val="center"/>
        <w:rPr>
          <w:rFonts w:ascii="Arial" w:hAnsi="Arial" w:cs="Arial"/>
          <w:b/>
          <w:bCs/>
          <w:kern w:val="0"/>
        </w:rPr>
      </w:pPr>
      <w:r>
        <w:rPr>
          <w:noProof/>
        </w:rPr>
        <w:lastRenderedPageBreak/>
        <w:drawing>
          <wp:inline distT="0" distB="0" distL="0" distR="0" wp14:anchorId="03EF9AD2" wp14:editId="361C106D">
            <wp:extent cx="3894926" cy="2809875"/>
            <wp:effectExtent l="0" t="0" r="0" b="0"/>
            <wp:docPr id="419880682" name="Picture 1" descr="A graph showing the average rate of p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0682" name="Picture 1" descr="A graph showing the average rate of pay&#10;&#10;Description automatically generated"/>
                    <pic:cNvPicPr/>
                  </pic:nvPicPr>
                  <pic:blipFill>
                    <a:blip r:embed="rId15"/>
                    <a:stretch>
                      <a:fillRect/>
                    </a:stretch>
                  </pic:blipFill>
                  <pic:spPr>
                    <a:xfrm>
                      <a:off x="0" y="0"/>
                      <a:ext cx="3912018" cy="2822206"/>
                    </a:xfrm>
                    <a:prstGeom prst="rect">
                      <a:avLst/>
                    </a:prstGeom>
                  </pic:spPr>
                </pic:pic>
              </a:graphicData>
            </a:graphic>
          </wp:inline>
        </w:drawing>
      </w:r>
    </w:p>
    <w:p w14:paraId="47FEEDB9" w14:textId="368E5CD9" w:rsidR="006D1459" w:rsidRPr="00B33CFA" w:rsidRDefault="00575DEA" w:rsidP="00575DEA">
      <w:pPr>
        <w:pStyle w:val="ListParagraph"/>
        <w:numPr>
          <w:ilvl w:val="0"/>
          <w:numId w:val="18"/>
        </w:numPr>
        <w:rPr>
          <w:rFonts w:ascii="Arial" w:hAnsi="Arial" w:cs="Arial"/>
          <w:kern w:val="0"/>
          <w:sz w:val="24"/>
          <w:szCs w:val="24"/>
        </w:rPr>
      </w:pPr>
      <w:r w:rsidRPr="00B33CFA">
        <w:rPr>
          <w:rFonts w:ascii="Arial" w:hAnsi="Arial" w:cs="Arial"/>
          <w:kern w:val="0"/>
          <w:sz w:val="24"/>
          <w:szCs w:val="24"/>
        </w:rPr>
        <w:t xml:space="preserve">Within our Medical and Dental workforce, males are paid 9 pence more than females. This has decreased by 2 pence since 2023. </w:t>
      </w:r>
    </w:p>
    <w:p w14:paraId="0F180A84" w14:textId="11F26BF9" w:rsidR="006D1459" w:rsidRDefault="00575DEA" w:rsidP="0063698D">
      <w:pPr>
        <w:jc w:val="center"/>
        <w:rPr>
          <w:rFonts w:ascii="Arial" w:hAnsi="Arial" w:cs="Arial"/>
          <w:b/>
          <w:bCs/>
          <w:kern w:val="0"/>
        </w:rPr>
      </w:pPr>
      <w:r>
        <w:rPr>
          <w:noProof/>
        </w:rPr>
        <w:drawing>
          <wp:inline distT="0" distB="0" distL="0" distR="0" wp14:anchorId="1C24E901" wp14:editId="18340376">
            <wp:extent cx="2635250" cy="2207232"/>
            <wp:effectExtent l="0" t="0" r="0" b="3175"/>
            <wp:docPr id="167078555" name="Picture 1" descr="A diagram of people standing in different posi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8555" name="Picture 1" descr="A diagram of people standing in different positions&#10;&#10;Description automatically generated"/>
                    <pic:cNvPicPr/>
                  </pic:nvPicPr>
                  <pic:blipFill>
                    <a:blip r:embed="rId16"/>
                    <a:stretch>
                      <a:fillRect/>
                    </a:stretch>
                  </pic:blipFill>
                  <pic:spPr>
                    <a:xfrm>
                      <a:off x="0" y="0"/>
                      <a:ext cx="2645334" cy="2215678"/>
                    </a:xfrm>
                    <a:prstGeom prst="rect">
                      <a:avLst/>
                    </a:prstGeom>
                  </pic:spPr>
                </pic:pic>
              </a:graphicData>
            </a:graphic>
          </wp:inline>
        </w:drawing>
      </w:r>
    </w:p>
    <w:p w14:paraId="38843A62" w14:textId="0511353F" w:rsidR="00AB0AEE" w:rsidRPr="00B33CFA" w:rsidRDefault="00AB0AEE" w:rsidP="00AB0AEE">
      <w:pPr>
        <w:rPr>
          <w:rFonts w:ascii="Arial" w:hAnsi="Arial" w:cs="Arial"/>
          <w:b/>
          <w:bCs/>
          <w:sz w:val="24"/>
          <w:szCs w:val="24"/>
          <w:u w:val="single"/>
        </w:rPr>
      </w:pPr>
      <w:r w:rsidRPr="00B33CFA">
        <w:rPr>
          <w:rFonts w:ascii="Arial" w:hAnsi="Arial" w:cs="Arial"/>
          <w:b/>
          <w:bCs/>
          <w:sz w:val="24"/>
          <w:szCs w:val="24"/>
          <w:u w:val="single"/>
        </w:rPr>
        <w:lastRenderedPageBreak/>
        <w:t xml:space="preserve">Median average Rates of Pay by Gender in </w:t>
      </w:r>
      <w:r w:rsidR="00B33CFA" w:rsidRPr="00B33CFA">
        <w:rPr>
          <w:rFonts w:ascii="Arial" w:hAnsi="Arial" w:cs="Arial"/>
          <w:b/>
          <w:bCs/>
          <w:sz w:val="24"/>
          <w:szCs w:val="24"/>
          <w:u w:val="single"/>
        </w:rPr>
        <w:t>T</w:t>
      </w:r>
      <w:r w:rsidRPr="00B33CFA">
        <w:rPr>
          <w:rFonts w:ascii="Arial" w:hAnsi="Arial" w:cs="Arial"/>
          <w:b/>
          <w:bCs/>
          <w:sz w:val="24"/>
          <w:szCs w:val="24"/>
          <w:u w:val="single"/>
        </w:rPr>
        <w:t xml:space="preserve">he Shrewsbury and Telford </w:t>
      </w:r>
      <w:r w:rsidR="00B33CFA" w:rsidRPr="00B33CFA">
        <w:rPr>
          <w:rFonts w:ascii="Arial" w:hAnsi="Arial" w:cs="Arial"/>
          <w:b/>
          <w:bCs/>
          <w:sz w:val="24"/>
          <w:szCs w:val="24"/>
          <w:u w:val="single"/>
        </w:rPr>
        <w:t>H</w:t>
      </w:r>
      <w:r w:rsidRPr="00B33CFA">
        <w:rPr>
          <w:rFonts w:ascii="Arial" w:hAnsi="Arial" w:cs="Arial"/>
          <w:b/>
          <w:bCs/>
          <w:sz w:val="24"/>
          <w:szCs w:val="24"/>
          <w:u w:val="single"/>
        </w:rPr>
        <w:t>ospital</w:t>
      </w:r>
      <w:r w:rsidR="00B33CFA" w:rsidRPr="00B33CFA">
        <w:rPr>
          <w:rFonts w:ascii="Arial" w:hAnsi="Arial" w:cs="Arial"/>
          <w:b/>
          <w:bCs/>
          <w:sz w:val="24"/>
          <w:szCs w:val="24"/>
          <w:u w:val="single"/>
        </w:rPr>
        <w:t xml:space="preserve"> NHS Trust</w:t>
      </w:r>
      <w:r w:rsidRPr="00B33CFA">
        <w:rPr>
          <w:rFonts w:ascii="Arial" w:hAnsi="Arial" w:cs="Arial"/>
          <w:b/>
          <w:bCs/>
          <w:sz w:val="24"/>
          <w:szCs w:val="24"/>
          <w:u w:val="single"/>
        </w:rPr>
        <w:t xml:space="preserve"> </w:t>
      </w:r>
      <w:r w:rsidR="00FA3848" w:rsidRPr="00B33CFA">
        <w:rPr>
          <w:rFonts w:ascii="Arial" w:hAnsi="Arial" w:cs="Arial"/>
          <w:b/>
          <w:bCs/>
          <w:sz w:val="24"/>
          <w:szCs w:val="24"/>
          <w:u w:val="single"/>
        </w:rPr>
        <w:t xml:space="preserve">– All staff </w:t>
      </w:r>
      <w:r w:rsidRPr="00B33CFA">
        <w:rPr>
          <w:rFonts w:ascii="Arial" w:hAnsi="Arial" w:cs="Arial"/>
          <w:b/>
          <w:bCs/>
          <w:sz w:val="24"/>
          <w:szCs w:val="24"/>
          <w:u w:val="single"/>
        </w:rPr>
        <w:t>(incl</w:t>
      </w:r>
      <w:r w:rsidR="00AE2AE7" w:rsidRPr="00B33CFA">
        <w:rPr>
          <w:rFonts w:ascii="Arial" w:hAnsi="Arial" w:cs="Arial"/>
          <w:b/>
          <w:bCs/>
          <w:sz w:val="24"/>
          <w:szCs w:val="24"/>
          <w:u w:val="single"/>
        </w:rPr>
        <w:t xml:space="preserve">usive of </w:t>
      </w:r>
      <w:r w:rsidRPr="00B33CFA">
        <w:rPr>
          <w:rFonts w:ascii="Arial" w:hAnsi="Arial" w:cs="Arial"/>
          <w:b/>
          <w:bCs/>
          <w:sz w:val="24"/>
          <w:szCs w:val="24"/>
          <w:u w:val="single"/>
        </w:rPr>
        <w:t>Medical and Dental)</w:t>
      </w:r>
    </w:p>
    <w:p w14:paraId="43C09AB1" w14:textId="77777777" w:rsidR="00AB0AEE" w:rsidRPr="00B33CFA" w:rsidRDefault="00AB0AEE" w:rsidP="00AB0AEE">
      <w:pPr>
        <w:rPr>
          <w:rFonts w:ascii="Arial" w:hAnsi="Arial" w:cs="Arial"/>
          <w:sz w:val="24"/>
          <w:szCs w:val="24"/>
        </w:rPr>
      </w:pPr>
      <w:r w:rsidRPr="00B33CFA">
        <w:rPr>
          <w:rFonts w:ascii="Arial" w:hAnsi="Arial" w:cs="Arial"/>
          <w:sz w:val="24"/>
          <w:szCs w:val="24"/>
        </w:rPr>
        <w:t xml:space="preserve">To calculate our median </w:t>
      </w:r>
      <w:proofErr w:type="gramStart"/>
      <w:r w:rsidRPr="00B33CFA">
        <w:rPr>
          <w:rFonts w:ascii="Arial" w:hAnsi="Arial" w:cs="Arial"/>
          <w:sz w:val="24"/>
          <w:szCs w:val="24"/>
        </w:rPr>
        <w:t>gender</w:t>
      </w:r>
      <w:proofErr w:type="gramEnd"/>
      <w:r w:rsidRPr="00B33CFA">
        <w:rPr>
          <w:rFonts w:ascii="Arial" w:hAnsi="Arial" w:cs="Arial"/>
          <w:sz w:val="24"/>
          <w:szCs w:val="24"/>
        </w:rPr>
        <w:t xml:space="preserve"> pay gap, we first rank all our people by their hourly pay. Then we compare what the woman in the middle of the female pay range received with what the man in the middle of the male pay range received. The difference between these figures is the median gender pay gap.</w:t>
      </w:r>
    </w:p>
    <w:p w14:paraId="7C3EB216" w14:textId="38BF33A2" w:rsidR="00AB0AEE" w:rsidRPr="00B33CFA" w:rsidRDefault="00AB0AEE" w:rsidP="000D4755">
      <w:pPr>
        <w:rPr>
          <w:b/>
          <w:bCs/>
          <w:noProof/>
          <w:sz w:val="24"/>
          <w:szCs w:val="24"/>
        </w:rPr>
      </w:pPr>
      <w:r w:rsidRPr="00B33CFA">
        <w:rPr>
          <w:rFonts w:ascii="Arial" w:hAnsi="Arial" w:cs="Arial"/>
          <w:b/>
          <w:bCs/>
          <w:kern w:val="0"/>
          <w:sz w:val="24"/>
          <w:szCs w:val="24"/>
        </w:rPr>
        <w:t>When comparing median hourly pay women earn 93p for every £1 that men earn</w:t>
      </w:r>
    </w:p>
    <w:p w14:paraId="7F8152C4" w14:textId="2021BA76" w:rsidR="00AB0AEE" w:rsidRDefault="00AB0AEE" w:rsidP="00AB0AEE">
      <w:pPr>
        <w:jc w:val="center"/>
        <w:rPr>
          <w:b/>
          <w:bCs/>
          <w:noProof/>
        </w:rPr>
      </w:pPr>
      <w:r>
        <w:rPr>
          <w:rFonts w:ascii="Arial" w:hAnsi="Arial" w:cs="Arial"/>
          <w:b/>
          <w:bCs/>
          <w:noProof/>
        </w:rPr>
        <w:drawing>
          <wp:inline distT="0" distB="0" distL="0" distR="0" wp14:anchorId="48FAFBFD" wp14:editId="0B37A444">
            <wp:extent cx="4204082" cy="1492250"/>
            <wp:effectExtent l="0" t="0" r="6350" b="0"/>
            <wp:docPr id="918342525" name="Picture 3" descr="A green circ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42525" name="Picture 3" descr="A green circles with white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2960" cy="1502500"/>
                    </a:xfrm>
                    <a:prstGeom prst="rect">
                      <a:avLst/>
                    </a:prstGeom>
                    <a:noFill/>
                  </pic:spPr>
                </pic:pic>
              </a:graphicData>
            </a:graphic>
          </wp:inline>
        </w:drawing>
      </w:r>
    </w:p>
    <w:p w14:paraId="2CCBC0AE" w14:textId="63407DA1" w:rsidR="00AB0AEE" w:rsidRDefault="0063698D" w:rsidP="00774FD5">
      <w:pPr>
        <w:jc w:val="center"/>
        <w:rPr>
          <w:b/>
          <w:bCs/>
          <w:noProof/>
        </w:rPr>
      </w:pPr>
      <w:r>
        <w:rPr>
          <w:rFonts w:ascii="Arial" w:hAnsi="Arial" w:cs="Arial"/>
          <w:b/>
          <w:bCs/>
          <w:noProof/>
        </w:rPr>
        <w:lastRenderedPageBreak/>
        <w:drawing>
          <wp:inline distT="0" distB="0" distL="0" distR="0" wp14:anchorId="3C20661A" wp14:editId="1CF5D5C2">
            <wp:extent cx="4437512" cy="3238500"/>
            <wp:effectExtent l="0" t="0" r="1270" b="0"/>
            <wp:docPr id="826522757" name="Picture 13" descr="A graph showing the price of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22757" name="Picture 13" descr="A graph showing the price of wom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3134" cy="3242603"/>
                    </a:xfrm>
                    <a:prstGeom prst="rect">
                      <a:avLst/>
                    </a:prstGeom>
                    <a:noFill/>
                  </pic:spPr>
                </pic:pic>
              </a:graphicData>
            </a:graphic>
          </wp:inline>
        </w:drawing>
      </w:r>
    </w:p>
    <w:p w14:paraId="6B754342" w14:textId="0DA03169" w:rsidR="00AB0AEE" w:rsidRPr="00B33CFA" w:rsidRDefault="00AB0AEE" w:rsidP="00AB0AEE">
      <w:pPr>
        <w:rPr>
          <w:rFonts w:ascii="Arial" w:hAnsi="Arial" w:cs="Arial"/>
          <w:sz w:val="24"/>
          <w:szCs w:val="24"/>
        </w:rPr>
      </w:pPr>
      <w:r w:rsidRPr="00B33CFA">
        <w:rPr>
          <w:rFonts w:ascii="Arial" w:hAnsi="Arial" w:cs="Arial"/>
          <w:sz w:val="24"/>
          <w:szCs w:val="24"/>
        </w:rPr>
        <w:t>Our overall median pay gap has been gradually narrowing. However, this year has seen a slight increase since 202</w:t>
      </w:r>
      <w:r w:rsidR="00B923CB" w:rsidRPr="00B33CFA">
        <w:rPr>
          <w:rFonts w:ascii="Arial" w:hAnsi="Arial" w:cs="Arial"/>
          <w:sz w:val="24"/>
          <w:szCs w:val="24"/>
        </w:rPr>
        <w:t>3</w:t>
      </w:r>
      <w:r w:rsidRPr="00B33CFA">
        <w:rPr>
          <w:rFonts w:ascii="Arial" w:hAnsi="Arial" w:cs="Arial"/>
          <w:sz w:val="24"/>
          <w:szCs w:val="24"/>
        </w:rPr>
        <w:t xml:space="preserve">. Contributing to this could be the fluctuations in the number of men working in the Trust increasing by 2% year on year.  </w:t>
      </w:r>
    </w:p>
    <w:bookmarkEnd w:id="1"/>
    <w:p w14:paraId="41B026E4" w14:textId="5B79E128" w:rsidR="00AB0AEE" w:rsidRPr="00B33CFA" w:rsidRDefault="008E5233" w:rsidP="000D4755">
      <w:pPr>
        <w:rPr>
          <w:rFonts w:ascii="Arial" w:hAnsi="Arial" w:cs="Arial"/>
          <w:b/>
          <w:bCs/>
          <w:sz w:val="24"/>
          <w:szCs w:val="24"/>
        </w:rPr>
      </w:pPr>
      <w:r w:rsidRPr="00B33CFA">
        <w:rPr>
          <w:rFonts w:ascii="Arial" w:hAnsi="Arial" w:cs="Arial"/>
          <w:b/>
          <w:bCs/>
          <w:sz w:val="24"/>
          <w:szCs w:val="24"/>
        </w:rPr>
        <w:t>Understanding our Gap</w:t>
      </w:r>
    </w:p>
    <w:p w14:paraId="0E87542A" w14:textId="00F832C2" w:rsidR="00AB0AEE" w:rsidRPr="00B33CFA" w:rsidRDefault="008E5233" w:rsidP="000D4755">
      <w:pPr>
        <w:rPr>
          <w:rFonts w:ascii="Arial" w:hAnsi="Arial" w:cs="Arial"/>
          <w:sz w:val="24"/>
          <w:szCs w:val="24"/>
        </w:rPr>
      </w:pPr>
      <w:r w:rsidRPr="00B33CFA">
        <w:rPr>
          <w:rFonts w:ascii="Arial" w:hAnsi="Arial" w:cs="Arial"/>
          <w:sz w:val="24"/>
          <w:szCs w:val="24"/>
        </w:rPr>
        <w:t xml:space="preserve">The difference between the average (mean) and middle value (median) pay gap within an organisation can shed light on the factors influencing the overall pay gap. If an organisation has </w:t>
      </w:r>
      <w:proofErr w:type="gramStart"/>
      <w:r w:rsidRPr="00B33CFA">
        <w:rPr>
          <w:rFonts w:ascii="Arial" w:hAnsi="Arial" w:cs="Arial"/>
          <w:sz w:val="24"/>
          <w:szCs w:val="24"/>
        </w:rPr>
        <w:t>a large number of</w:t>
      </w:r>
      <w:proofErr w:type="gramEnd"/>
      <w:r w:rsidRPr="00B33CFA">
        <w:rPr>
          <w:rFonts w:ascii="Arial" w:hAnsi="Arial" w:cs="Arial"/>
          <w:sz w:val="24"/>
          <w:szCs w:val="24"/>
        </w:rPr>
        <w:t xml:space="preserve"> low-paid employees, the average pay gap will be pulled down, making it smaller than the median. Conversely, if an organisation has a small number of very high-paid employees, the average pay gap will be pulled up, making it larger than the median. This is the case in Shrewsbury and Telford hospital. </w:t>
      </w:r>
    </w:p>
    <w:p w14:paraId="2B4BF9CC" w14:textId="2F9A9EA4" w:rsidR="008E5233" w:rsidRPr="00B33CFA" w:rsidRDefault="008E5233" w:rsidP="000D4755">
      <w:pPr>
        <w:rPr>
          <w:rFonts w:ascii="Arial" w:hAnsi="Arial" w:cs="Arial"/>
          <w:sz w:val="24"/>
          <w:szCs w:val="24"/>
        </w:rPr>
      </w:pPr>
      <w:r w:rsidRPr="00B33CFA">
        <w:rPr>
          <w:rFonts w:ascii="Arial" w:hAnsi="Arial" w:cs="Arial"/>
          <w:sz w:val="24"/>
          <w:szCs w:val="24"/>
        </w:rPr>
        <w:t>Our Trust gender profile is 77.31% female and 22.38% male</w:t>
      </w:r>
      <w:r w:rsidR="00F42C4D" w:rsidRPr="00B33CFA">
        <w:rPr>
          <w:rFonts w:ascii="Arial" w:hAnsi="Arial" w:cs="Arial"/>
          <w:sz w:val="24"/>
          <w:szCs w:val="24"/>
        </w:rPr>
        <w:t xml:space="preserve"> (Table 1)</w:t>
      </w:r>
      <w:r w:rsidRPr="00B33CFA">
        <w:rPr>
          <w:rFonts w:ascii="Arial" w:hAnsi="Arial" w:cs="Arial"/>
          <w:sz w:val="24"/>
          <w:szCs w:val="24"/>
        </w:rPr>
        <w:t>. The number of males has increased year on year</w:t>
      </w:r>
      <w:r w:rsidR="00895159" w:rsidRPr="00B33CFA">
        <w:rPr>
          <w:rFonts w:ascii="Arial" w:hAnsi="Arial" w:cs="Arial"/>
          <w:sz w:val="24"/>
          <w:szCs w:val="24"/>
        </w:rPr>
        <w:t xml:space="preserve"> at varying levels of pay in the Trust. Band 2 and 8b representation has seen the highest increases at 3% and 4% respectively. </w:t>
      </w:r>
      <w:r w:rsidR="00F42C4D" w:rsidRPr="00B33CFA">
        <w:rPr>
          <w:rFonts w:ascii="Arial" w:hAnsi="Arial" w:cs="Arial"/>
          <w:sz w:val="24"/>
          <w:szCs w:val="24"/>
        </w:rPr>
        <w:t>(Table 2)</w:t>
      </w:r>
    </w:p>
    <w:p w14:paraId="35AE59C6" w14:textId="20381C73" w:rsidR="00F42C4D" w:rsidRPr="00B33CFA" w:rsidRDefault="005A26D6" w:rsidP="005A26D6">
      <w:pPr>
        <w:rPr>
          <w:rFonts w:ascii="Arial" w:hAnsi="Arial" w:cs="Arial"/>
          <w:b/>
          <w:bCs/>
          <w:sz w:val="24"/>
          <w:szCs w:val="24"/>
        </w:rPr>
      </w:pPr>
      <w:r w:rsidRPr="00B33CFA">
        <w:rPr>
          <w:rFonts w:ascii="Arial" w:hAnsi="Arial" w:cs="Arial"/>
          <w:sz w:val="24"/>
          <w:szCs w:val="24"/>
        </w:rPr>
        <w:lastRenderedPageBreak/>
        <w:t>If we look at the pay quart</w:t>
      </w:r>
      <w:r w:rsidR="0011158C" w:rsidRPr="00B33CFA">
        <w:rPr>
          <w:rFonts w:ascii="Arial" w:hAnsi="Arial" w:cs="Arial"/>
          <w:sz w:val="24"/>
          <w:szCs w:val="24"/>
        </w:rPr>
        <w:t>iles</w:t>
      </w:r>
      <w:r w:rsidRPr="00B33CFA">
        <w:rPr>
          <w:rFonts w:ascii="Arial" w:hAnsi="Arial" w:cs="Arial"/>
          <w:sz w:val="24"/>
          <w:szCs w:val="24"/>
        </w:rPr>
        <w:t xml:space="preserve"> across the </w:t>
      </w:r>
      <w:r w:rsidR="0011158C" w:rsidRPr="00B33CFA">
        <w:rPr>
          <w:rFonts w:ascii="Arial" w:hAnsi="Arial" w:cs="Arial"/>
          <w:sz w:val="24"/>
          <w:szCs w:val="24"/>
        </w:rPr>
        <w:t>T</w:t>
      </w:r>
      <w:r w:rsidR="0095228A" w:rsidRPr="00B33CFA">
        <w:rPr>
          <w:rFonts w:ascii="Arial" w:hAnsi="Arial" w:cs="Arial"/>
          <w:sz w:val="24"/>
          <w:szCs w:val="24"/>
        </w:rPr>
        <w:t>rust,</w:t>
      </w:r>
      <w:r w:rsidRPr="00B33CFA">
        <w:rPr>
          <w:rFonts w:ascii="Arial" w:hAnsi="Arial" w:cs="Arial"/>
          <w:sz w:val="24"/>
          <w:szCs w:val="24"/>
        </w:rPr>
        <w:t xml:space="preserve"> we can see a mixed representation of levels. With the highest quartile seeing the largest representation </w:t>
      </w:r>
      <w:r w:rsidR="0095228A" w:rsidRPr="00B33CFA">
        <w:rPr>
          <w:rFonts w:ascii="Arial" w:hAnsi="Arial" w:cs="Arial"/>
          <w:sz w:val="24"/>
          <w:szCs w:val="24"/>
        </w:rPr>
        <w:t xml:space="preserve">of males </w:t>
      </w:r>
      <w:r w:rsidRPr="00B33CFA">
        <w:rPr>
          <w:rFonts w:ascii="Arial" w:hAnsi="Arial" w:cs="Arial"/>
          <w:sz w:val="24"/>
          <w:szCs w:val="24"/>
        </w:rPr>
        <w:t>at 31.22% which is an increase of 1.21 since 2023. (Table 3). Interestingly the number of males in all quartiles has increased since 2023</w:t>
      </w:r>
      <w:r w:rsidR="0095228A" w:rsidRPr="00B33CFA">
        <w:rPr>
          <w:rFonts w:ascii="Arial" w:hAnsi="Arial" w:cs="Arial"/>
          <w:sz w:val="24"/>
          <w:szCs w:val="24"/>
        </w:rPr>
        <w:t xml:space="preserve">. </w:t>
      </w:r>
      <w:r w:rsidR="00F42C4D" w:rsidRPr="00B33CFA">
        <w:rPr>
          <w:rFonts w:ascii="Arial" w:hAnsi="Arial" w:cs="Arial"/>
          <w:sz w:val="24"/>
          <w:szCs w:val="24"/>
        </w:rPr>
        <w:t>Women are most highly represented in Quartile 3 and men in Quartile 4</w:t>
      </w:r>
      <w:r w:rsidR="0011158C" w:rsidRPr="00B33CFA">
        <w:rPr>
          <w:rFonts w:ascii="Arial" w:hAnsi="Arial" w:cs="Arial"/>
          <w:sz w:val="24"/>
          <w:szCs w:val="24"/>
        </w:rPr>
        <w:t>.</w:t>
      </w:r>
    </w:p>
    <w:p w14:paraId="19017E92" w14:textId="20618BDF" w:rsidR="000D4755" w:rsidRPr="00B33CFA" w:rsidRDefault="000D4755" w:rsidP="000D4755">
      <w:pPr>
        <w:rPr>
          <w:rFonts w:ascii="Arial" w:hAnsi="Arial" w:cs="Arial"/>
          <w:sz w:val="24"/>
          <w:szCs w:val="24"/>
        </w:rPr>
      </w:pPr>
      <w:bookmarkStart w:id="2" w:name="_Hlk180654590"/>
      <w:r w:rsidRPr="00B33CFA">
        <w:rPr>
          <w:rFonts w:ascii="Arial" w:hAnsi="Arial" w:cs="Arial"/>
          <w:b/>
          <w:bCs/>
          <w:sz w:val="24"/>
          <w:szCs w:val="24"/>
        </w:rPr>
        <w:t xml:space="preserve">Table 1 Gender mix in </w:t>
      </w:r>
      <w:r w:rsidR="00B33CFA" w:rsidRPr="00B33CFA">
        <w:rPr>
          <w:rFonts w:ascii="Arial" w:hAnsi="Arial" w:cs="Arial"/>
          <w:b/>
          <w:bCs/>
          <w:sz w:val="24"/>
          <w:szCs w:val="24"/>
        </w:rPr>
        <w:t xml:space="preserve">The </w:t>
      </w:r>
      <w:r w:rsidRPr="00B33CFA">
        <w:rPr>
          <w:rFonts w:ascii="Arial" w:hAnsi="Arial" w:cs="Arial"/>
          <w:b/>
          <w:bCs/>
          <w:sz w:val="24"/>
          <w:szCs w:val="24"/>
        </w:rPr>
        <w:t xml:space="preserve">Shrewsbury and Telford </w:t>
      </w:r>
      <w:r w:rsidR="00B33CFA" w:rsidRPr="00B33CFA">
        <w:rPr>
          <w:rFonts w:ascii="Arial" w:hAnsi="Arial" w:cs="Arial"/>
          <w:b/>
          <w:bCs/>
          <w:sz w:val="24"/>
          <w:szCs w:val="24"/>
        </w:rPr>
        <w:t xml:space="preserve">Hospital </w:t>
      </w:r>
      <w:r w:rsidRPr="00B33CFA">
        <w:rPr>
          <w:rFonts w:ascii="Arial" w:hAnsi="Arial" w:cs="Arial"/>
          <w:b/>
          <w:bCs/>
          <w:sz w:val="24"/>
          <w:szCs w:val="24"/>
        </w:rPr>
        <w:t>NHS Trust as of 31/03/2024</w:t>
      </w:r>
    </w:p>
    <w:p w14:paraId="26A46795" w14:textId="5C9DEA27" w:rsidR="000D4755" w:rsidRDefault="00B0163B" w:rsidP="00683A73">
      <w:pPr>
        <w:jc w:val="center"/>
        <w:rPr>
          <w:rFonts w:ascii="Arial" w:hAnsi="Arial" w:cs="Arial"/>
        </w:rPr>
      </w:pPr>
      <w:r>
        <w:rPr>
          <w:rFonts w:ascii="Arial" w:hAnsi="Arial" w:cs="Arial"/>
          <w:noProof/>
        </w:rPr>
        <w:drawing>
          <wp:inline distT="0" distB="0" distL="0" distR="0" wp14:anchorId="2F24D4C7" wp14:editId="170B061A">
            <wp:extent cx="4325240" cy="2447925"/>
            <wp:effectExtent l="0" t="0" r="0" b="0"/>
            <wp:docPr id="1477848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5174" cy="2459207"/>
                    </a:xfrm>
                    <a:prstGeom prst="rect">
                      <a:avLst/>
                    </a:prstGeom>
                    <a:noFill/>
                  </pic:spPr>
                </pic:pic>
              </a:graphicData>
            </a:graphic>
          </wp:inline>
        </w:drawing>
      </w:r>
    </w:p>
    <w:p w14:paraId="17288C93" w14:textId="77777777" w:rsidR="00B33CFA" w:rsidRDefault="00B33CFA" w:rsidP="000D4755">
      <w:pPr>
        <w:rPr>
          <w:rFonts w:ascii="Arial" w:hAnsi="Arial" w:cs="Arial"/>
          <w:b/>
          <w:bCs/>
        </w:rPr>
      </w:pPr>
    </w:p>
    <w:p w14:paraId="3362E757" w14:textId="77777777" w:rsidR="00B33CFA" w:rsidRDefault="00B33CFA" w:rsidP="000D4755">
      <w:pPr>
        <w:rPr>
          <w:rFonts w:ascii="Arial" w:hAnsi="Arial" w:cs="Arial"/>
          <w:b/>
          <w:bCs/>
        </w:rPr>
      </w:pPr>
    </w:p>
    <w:p w14:paraId="7DA9A847" w14:textId="77777777" w:rsidR="00B33CFA" w:rsidRDefault="00B33CFA" w:rsidP="000D4755">
      <w:pPr>
        <w:rPr>
          <w:rFonts w:ascii="Arial" w:hAnsi="Arial" w:cs="Arial"/>
          <w:b/>
          <w:bCs/>
        </w:rPr>
      </w:pPr>
    </w:p>
    <w:p w14:paraId="3774B02E" w14:textId="77777777" w:rsidR="00B33CFA" w:rsidRDefault="00B33CFA" w:rsidP="000D4755">
      <w:pPr>
        <w:rPr>
          <w:rFonts w:ascii="Arial" w:hAnsi="Arial" w:cs="Arial"/>
          <w:b/>
          <w:bCs/>
        </w:rPr>
      </w:pPr>
    </w:p>
    <w:p w14:paraId="5D0DCB8D" w14:textId="77777777" w:rsidR="00B33CFA" w:rsidRDefault="00B33CFA" w:rsidP="000D4755">
      <w:pPr>
        <w:rPr>
          <w:rFonts w:ascii="Arial" w:hAnsi="Arial" w:cs="Arial"/>
          <w:b/>
          <w:bCs/>
        </w:rPr>
      </w:pPr>
    </w:p>
    <w:p w14:paraId="39D4D603" w14:textId="77777777" w:rsidR="00B33CFA" w:rsidRDefault="00B33CFA" w:rsidP="000D4755">
      <w:pPr>
        <w:rPr>
          <w:rFonts w:ascii="Arial" w:hAnsi="Arial" w:cs="Arial"/>
          <w:b/>
          <w:bCs/>
        </w:rPr>
      </w:pPr>
    </w:p>
    <w:p w14:paraId="1DC00E9E" w14:textId="77777777" w:rsidR="00B33CFA" w:rsidRDefault="00B33CFA" w:rsidP="000D4755">
      <w:pPr>
        <w:rPr>
          <w:rFonts w:ascii="Arial" w:hAnsi="Arial" w:cs="Arial"/>
          <w:b/>
          <w:bCs/>
        </w:rPr>
      </w:pPr>
    </w:p>
    <w:p w14:paraId="7655FA94" w14:textId="77777777" w:rsidR="00B33CFA" w:rsidRDefault="00B33CFA" w:rsidP="000D4755">
      <w:pPr>
        <w:rPr>
          <w:rFonts w:ascii="Arial" w:hAnsi="Arial" w:cs="Arial"/>
          <w:b/>
          <w:bCs/>
        </w:rPr>
      </w:pPr>
    </w:p>
    <w:p w14:paraId="0C2676F4" w14:textId="6BFD7A9E" w:rsidR="000D4755" w:rsidRPr="00B33CFA" w:rsidRDefault="000D4755" w:rsidP="000D4755">
      <w:pPr>
        <w:rPr>
          <w:rFonts w:ascii="Arial" w:hAnsi="Arial" w:cs="Arial"/>
          <w:b/>
          <w:bCs/>
          <w:sz w:val="24"/>
          <w:szCs w:val="24"/>
        </w:rPr>
      </w:pPr>
      <w:r w:rsidRPr="00B33CFA">
        <w:rPr>
          <w:rFonts w:ascii="Arial" w:hAnsi="Arial" w:cs="Arial"/>
          <w:b/>
          <w:bCs/>
          <w:sz w:val="24"/>
          <w:szCs w:val="24"/>
        </w:rPr>
        <w:lastRenderedPageBreak/>
        <w:t xml:space="preserve">Table 2 the Gender mix at pay band level within </w:t>
      </w:r>
      <w:r w:rsidR="00B33CFA" w:rsidRPr="00B33CFA">
        <w:rPr>
          <w:rFonts w:ascii="Arial" w:hAnsi="Arial" w:cs="Arial"/>
          <w:b/>
          <w:bCs/>
          <w:sz w:val="24"/>
          <w:szCs w:val="24"/>
        </w:rPr>
        <w:t>T</w:t>
      </w:r>
      <w:r w:rsidRPr="00B33CFA">
        <w:rPr>
          <w:rFonts w:ascii="Arial" w:hAnsi="Arial" w:cs="Arial"/>
          <w:b/>
          <w:bCs/>
          <w:sz w:val="24"/>
          <w:szCs w:val="24"/>
        </w:rPr>
        <w:t xml:space="preserve">he Shrewsbury and Telford </w:t>
      </w:r>
      <w:r w:rsidR="00B33CFA" w:rsidRPr="00B33CFA">
        <w:rPr>
          <w:rFonts w:ascii="Arial" w:hAnsi="Arial" w:cs="Arial"/>
          <w:b/>
          <w:bCs/>
          <w:sz w:val="24"/>
          <w:szCs w:val="24"/>
        </w:rPr>
        <w:t xml:space="preserve">Hospital </w:t>
      </w:r>
      <w:r w:rsidRPr="00B33CFA">
        <w:rPr>
          <w:rFonts w:ascii="Arial" w:hAnsi="Arial" w:cs="Arial"/>
          <w:b/>
          <w:bCs/>
          <w:sz w:val="24"/>
          <w:szCs w:val="24"/>
        </w:rPr>
        <w:t xml:space="preserve">NHS Trust as of 31/03/2024 </w:t>
      </w:r>
      <w:r w:rsidR="002813DB" w:rsidRPr="00B33CFA">
        <w:rPr>
          <w:rFonts w:ascii="Arial" w:hAnsi="Arial" w:cs="Arial"/>
          <w:b/>
          <w:bCs/>
          <w:sz w:val="24"/>
          <w:szCs w:val="24"/>
        </w:rPr>
        <w:t xml:space="preserve">year on year </w:t>
      </w:r>
      <w:r w:rsidR="00B60302" w:rsidRPr="00B33CFA">
        <w:rPr>
          <w:rFonts w:ascii="Arial" w:hAnsi="Arial" w:cs="Arial"/>
          <w:b/>
          <w:bCs/>
          <w:sz w:val="24"/>
          <w:szCs w:val="24"/>
        </w:rPr>
        <w:t>performance.</w:t>
      </w:r>
    </w:p>
    <w:bookmarkEnd w:id="2"/>
    <w:p w14:paraId="21F4DFA6" w14:textId="01325772" w:rsidR="000D4755" w:rsidRDefault="00A37F3E" w:rsidP="00683A73">
      <w:pPr>
        <w:jc w:val="center"/>
        <w:rPr>
          <w:rFonts w:ascii="Arial" w:hAnsi="Arial" w:cs="Arial"/>
        </w:rPr>
      </w:pPr>
      <w:r>
        <w:rPr>
          <w:rFonts w:ascii="Arial" w:hAnsi="Arial" w:cs="Arial"/>
          <w:noProof/>
        </w:rPr>
        <w:drawing>
          <wp:inline distT="0" distB="0" distL="0" distR="0" wp14:anchorId="29AFFFB4" wp14:editId="3564B36F">
            <wp:extent cx="5689909" cy="4191000"/>
            <wp:effectExtent l="0" t="0" r="6350" b="0"/>
            <wp:docPr id="940919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5262" cy="4194943"/>
                    </a:xfrm>
                    <a:prstGeom prst="rect">
                      <a:avLst/>
                    </a:prstGeom>
                    <a:noFill/>
                  </pic:spPr>
                </pic:pic>
              </a:graphicData>
            </a:graphic>
          </wp:inline>
        </w:drawing>
      </w:r>
    </w:p>
    <w:p w14:paraId="4A34AFCE" w14:textId="77777777" w:rsidR="000D4755" w:rsidRDefault="000D4755" w:rsidP="000D4755">
      <w:pPr>
        <w:rPr>
          <w:rFonts w:ascii="Arial" w:hAnsi="Arial" w:cs="Arial"/>
        </w:rPr>
      </w:pPr>
    </w:p>
    <w:p w14:paraId="62495D22" w14:textId="77777777" w:rsidR="000D4755" w:rsidRDefault="000D4755" w:rsidP="000D4755">
      <w:pPr>
        <w:rPr>
          <w:rFonts w:ascii="Arial" w:hAnsi="Arial" w:cs="Arial"/>
          <w:b/>
          <w:bCs/>
          <w:u w:val="single"/>
        </w:rPr>
      </w:pPr>
    </w:p>
    <w:p w14:paraId="3386BF63" w14:textId="76A3DD1E" w:rsidR="000D4755" w:rsidRDefault="000D4755" w:rsidP="00683A73">
      <w:pPr>
        <w:jc w:val="center"/>
        <w:rPr>
          <w:rFonts w:ascii="Arial" w:hAnsi="Arial" w:cs="Arial"/>
          <w:b/>
          <w:bCs/>
          <w:u w:val="single"/>
        </w:rPr>
      </w:pPr>
    </w:p>
    <w:p w14:paraId="6821B6E9" w14:textId="54629681" w:rsidR="000D4755" w:rsidRPr="00B33CFA" w:rsidRDefault="000D4755" w:rsidP="000D4755">
      <w:pPr>
        <w:rPr>
          <w:rFonts w:ascii="Arial" w:hAnsi="Arial" w:cs="Arial"/>
          <w:b/>
          <w:bCs/>
          <w:sz w:val="24"/>
          <w:szCs w:val="24"/>
          <w:u w:val="single"/>
        </w:rPr>
      </w:pPr>
      <w:bookmarkStart w:id="3" w:name="_Hlk180654613"/>
      <w:r w:rsidRPr="00B33CFA">
        <w:rPr>
          <w:rFonts w:ascii="Arial" w:hAnsi="Arial" w:cs="Arial"/>
          <w:b/>
          <w:bCs/>
          <w:sz w:val="24"/>
          <w:szCs w:val="24"/>
          <w:u w:val="single"/>
        </w:rPr>
        <w:lastRenderedPageBreak/>
        <w:t>Table 3 2024 Pay Quartile</w:t>
      </w:r>
      <w:r w:rsidR="000253A1" w:rsidRPr="00B33CFA">
        <w:rPr>
          <w:rFonts w:ascii="Arial" w:hAnsi="Arial" w:cs="Arial"/>
          <w:b/>
          <w:bCs/>
          <w:sz w:val="24"/>
          <w:szCs w:val="24"/>
          <w:u w:val="single"/>
        </w:rPr>
        <w:t xml:space="preserve"> all Staff</w:t>
      </w:r>
      <w:r w:rsidRPr="00B33CFA">
        <w:rPr>
          <w:rFonts w:ascii="Arial" w:hAnsi="Arial" w:cs="Arial"/>
          <w:b/>
          <w:bCs/>
          <w:sz w:val="24"/>
          <w:szCs w:val="24"/>
          <w:u w:val="single"/>
        </w:rPr>
        <w:t xml:space="preserve"> (</w:t>
      </w:r>
      <w:r w:rsidR="000253A1" w:rsidRPr="00B33CFA">
        <w:rPr>
          <w:rFonts w:ascii="Arial" w:hAnsi="Arial" w:cs="Arial"/>
          <w:b/>
          <w:bCs/>
          <w:sz w:val="24"/>
          <w:szCs w:val="24"/>
          <w:u w:val="single"/>
        </w:rPr>
        <w:t>incl</w:t>
      </w:r>
      <w:r w:rsidR="00B60302" w:rsidRPr="00B33CFA">
        <w:rPr>
          <w:rFonts w:ascii="Arial" w:hAnsi="Arial" w:cs="Arial"/>
          <w:b/>
          <w:bCs/>
          <w:sz w:val="24"/>
          <w:szCs w:val="24"/>
          <w:u w:val="single"/>
        </w:rPr>
        <w:t>uding</w:t>
      </w:r>
      <w:r w:rsidRPr="00B33CFA">
        <w:rPr>
          <w:rFonts w:ascii="Arial" w:hAnsi="Arial" w:cs="Arial"/>
          <w:b/>
          <w:bCs/>
          <w:sz w:val="24"/>
          <w:szCs w:val="24"/>
          <w:u w:val="single"/>
        </w:rPr>
        <w:t xml:space="preserve"> </w:t>
      </w:r>
      <w:r w:rsidR="00B60302" w:rsidRPr="00B33CFA">
        <w:rPr>
          <w:rFonts w:ascii="Arial" w:hAnsi="Arial" w:cs="Arial"/>
          <w:b/>
          <w:bCs/>
          <w:sz w:val="24"/>
          <w:szCs w:val="24"/>
          <w:u w:val="single"/>
        </w:rPr>
        <w:t>M</w:t>
      </w:r>
      <w:r w:rsidRPr="00B33CFA">
        <w:rPr>
          <w:rFonts w:ascii="Arial" w:hAnsi="Arial" w:cs="Arial"/>
          <w:b/>
          <w:bCs/>
          <w:sz w:val="24"/>
          <w:szCs w:val="24"/>
          <w:u w:val="single"/>
        </w:rPr>
        <w:t xml:space="preserve">edical and </w:t>
      </w:r>
      <w:r w:rsidR="00B60302" w:rsidRPr="00B33CFA">
        <w:rPr>
          <w:rFonts w:ascii="Arial" w:hAnsi="Arial" w:cs="Arial"/>
          <w:b/>
          <w:bCs/>
          <w:sz w:val="24"/>
          <w:szCs w:val="24"/>
          <w:u w:val="single"/>
        </w:rPr>
        <w:t>D</w:t>
      </w:r>
      <w:r w:rsidRPr="00B33CFA">
        <w:rPr>
          <w:rFonts w:ascii="Arial" w:hAnsi="Arial" w:cs="Arial"/>
          <w:b/>
          <w:bCs/>
          <w:sz w:val="24"/>
          <w:szCs w:val="24"/>
          <w:u w:val="single"/>
        </w:rPr>
        <w:t xml:space="preserve">ental) </w:t>
      </w:r>
    </w:p>
    <w:p w14:paraId="1A1E7D06" w14:textId="767A09C4" w:rsidR="007F3861" w:rsidRPr="00B33CFA" w:rsidRDefault="007F3861" w:rsidP="000D4755">
      <w:pPr>
        <w:rPr>
          <w:rFonts w:ascii="Arial" w:hAnsi="Arial" w:cs="Arial"/>
          <w:sz w:val="24"/>
          <w:szCs w:val="24"/>
        </w:rPr>
      </w:pPr>
      <w:r w:rsidRPr="00B33CFA">
        <w:rPr>
          <w:rFonts w:ascii="Arial" w:hAnsi="Arial" w:cs="Arial"/>
          <w:sz w:val="24"/>
          <w:szCs w:val="24"/>
        </w:rPr>
        <w:t xml:space="preserve">This method splits the proportions of male and female full-pay relevant employees in the lower, lower middle, upper middle and upper quartile pay bands (Quartiles 1, 2, 3 and 4). The make up between the quartiles has seen </w:t>
      </w:r>
      <w:r w:rsidR="00200F72" w:rsidRPr="00B33CFA">
        <w:rPr>
          <w:rFonts w:ascii="Arial" w:hAnsi="Arial" w:cs="Arial"/>
          <w:sz w:val="24"/>
          <w:szCs w:val="24"/>
        </w:rPr>
        <w:t xml:space="preserve">the highest percentage </w:t>
      </w:r>
      <w:r w:rsidRPr="00B33CFA">
        <w:rPr>
          <w:rFonts w:ascii="Arial" w:hAnsi="Arial" w:cs="Arial"/>
          <w:sz w:val="24"/>
          <w:szCs w:val="24"/>
        </w:rPr>
        <w:t>increase in the number of females in the lowest quartile year in year</w:t>
      </w:r>
      <w:r w:rsidR="00200F72" w:rsidRPr="00B33CFA">
        <w:rPr>
          <w:rFonts w:ascii="Arial" w:hAnsi="Arial" w:cs="Arial"/>
          <w:sz w:val="24"/>
          <w:szCs w:val="24"/>
        </w:rPr>
        <w:t xml:space="preserve"> and Quartile 2 has seen the highest number of males join the organisation. As a further observation, 476 colleagues have either change</w:t>
      </w:r>
      <w:r w:rsidR="00BA5EEB" w:rsidRPr="00B33CFA">
        <w:rPr>
          <w:rFonts w:ascii="Arial" w:hAnsi="Arial" w:cs="Arial"/>
          <w:sz w:val="24"/>
          <w:szCs w:val="24"/>
        </w:rPr>
        <w:t>d</w:t>
      </w:r>
      <w:r w:rsidR="00200F72" w:rsidRPr="00B33CFA">
        <w:rPr>
          <w:rFonts w:ascii="Arial" w:hAnsi="Arial" w:cs="Arial"/>
          <w:sz w:val="24"/>
          <w:szCs w:val="24"/>
        </w:rPr>
        <w:t xml:space="preserve"> quartiles or been recruited into the Trust. 307 of these were female and 169 males. For females, 29% (89 colleagues) of those were in quartile 4 and for males was in Quartile 2 at 39% (66 colleagues). </w:t>
      </w:r>
      <w:r w:rsidRPr="00B33CFA">
        <w:rPr>
          <w:rFonts w:ascii="Arial" w:hAnsi="Arial" w:cs="Arial"/>
          <w:sz w:val="24"/>
          <w:szCs w:val="24"/>
        </w:rPr>
        <w:t xml:space="preserve"> </w:t>
      </w:r>
    </w:p>
    <w:p w14:paraId="66C9F4F7" w14:textId="3E12B618" w:rsidR="000D4755" w:rsidRDefault="000253A1" w:rsidP="00683A73">
      <w:pPr>
        <w:jc w:val="center"/>
        <w:rPr>
          <w:rFonts w:ascii="Arial" w:hAnsi="Arial" w:cs="Arial"/>
          <w:b/>
          <w:bCs/>
          <w:u w:val="single"/>
        </w:rPr>
      </w:pPr>
      <w:r w:rsidRPr="000253A1">
        <w:rPr>
          <w:rFonts w:ascii="Arial" w:hAnsi="Arial" w:cs="Arial"/>
          <w:b/>
          <w:bCs/>
          <w:noProof/>
          <w:u w:val="single"/>
        </w:rPr>
        <w:drawing>
          <wp:inline distT="0" distB="0" distL="0" distR="0" wp14:anchorId="6EE09AD2" wp14:editId="76B7FBED">
            <wp:extent cx="6734175" cy="3086100"/>
            <wp:effectExtent l="0" t="0" r="9525" b="0"/>
            <wp:docPr id="238613025" name="Chart 1">
              <a:extLst xmlns:a="http://schemas.openxmlformats.org/drawingml/2006/main">
                <a:ext uri="{FF2B5EF4-FFF2-40B4-BE49-F238E27FC236}">
                  <a16:creationId xmlns:a16="http://schemas.microsoft.com/office/drawing/2014/main" id="{3DFED5FA-82E2-1505-0D3A-83D13E679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A4BB64" w14:textId="77777777" w:rsidR="002813DB" w:rsidRDefault="002813DB" w:rsidP="00683A73">
      <w:pPr>
        <w:jc w:val="center"/>
        <w:rPr>
          <w:rFonts w:ascii="Arial" w:hAnsi="Arial" w:cs="Arial"/>
          <w:b/>
          <w:bCs/>
          <w:u w:val="single"/>
        </w:rPr>
      </w:pPr>
    </w:p>
    <w:p w14:paraId="13B1B666" w14:textId="77777777" w:rsidR="00B33CFA" w:rsidRDefault="00B33CFA" w:rsidP="00683A73">
      <w:pPr>
        <w:jc w:val="center"/>
        <w:rPr>
          <w:rFonts w:ascii="Arial" w:hAnsi="Arial" w:cs="Arial"/>
          <w:b/>
          <w:bCs/>
          <w:u w:val="single"/>
        </w:rPr>
      </w:pPr>
    </w:p>
    <w:p w14:paraId="412AD7DE" w14:textId="77777777" w:rsidR="00B33CFA" w:rsidRDefault="00B33CFA" w:rsidP="00683A73">
      <w:pPr>
        <w:jc w:val="center"/>
        <w:rPr>
          <w:rFonts w:ascii="Arial" w:hAnsi="Arial" w:cs="Arial"/>
          <w:b/>
          <w:bCs/>
          <w:u w:val="single"/>
        </w:rPr>
      </w:pPr>
    </w:p>
    <w:tbl>
      <w:tblPr>
        <w:tblW w:w="10763" w:type="dxa"/>
        <w:jc w:val="center"/>
        <w:tblLayout w:type="fixed"/>
        <w:tblCellMar>
          <w:left w:w="0" w:type="dxa"/>
          <w:right w:w="0" w:type="dxa"/>
        </w:tblCellMar>
        <w:tblLook w:val="0420" w:firstRow="1" w:lastRow="0" w:firstColumn="0" w:lastColumn="0" w:noHBand="0" w:noVBand="1"/>
      </w:tblPr>
      <w:tblGrid>
        <w:gridCol w:w="983"/>
        <w:gridCol w:w="1275"/>
        <w:gridCol w:w="1276"/>
        <w:gridCol w:w="1418"/>
        <w:gridCol w:w="1134"/>
        <w:gridCol w:w="1134"/>
        <w:gridCol w:w="1134"/>
        <w:gridCol w:w="1134"/>
        <w:gridCol w:w="1275"/>
      </w:tblGrid>
      <w:tr w:rsidR="000253A1" w:rsidRPr="000253A1" w14:paraId="60386FCF" w14:textId="77777777" w:rsidTr="00B33CFA">
        <w:trPr>
          <w:trHeight w:val="296"/>
          <w:jc w:val="center"/>
        </w:trPr>
        <w:tc>
          <w:tcPr>
            <w:tcW w:w="983" w:type="dxa"/>
            <w:tcBorders>
              <w:top w:val="single" w:sz="8" w:space="0" w:color="FFFFFF"/>
              <w:left w:val="single" w:sz="8" w:space="0" w:color="FFFFFF"/>
              <w:bottom w:val="single" w:sz="24" w:space="0" w:color="FFFFFF"/>
              <w:right w:val="single" w:sz="8" w:space="0" w:color="FFFFFF"/>
            </w:tcBorders>
            <w:shd w:val="clear" w:color="auto" w:fill="44257D"/>
            <w:tcMar>
              <w:top w:w="72" w:type="dxa"/>
              <w:left w:w="144" w:type="dxa"/>
              <w:bottom w:w="72" w:type="dxa"/>
              <w:right w:w="144" w:type="dxa"/>
            </w:tcMar>
            <w:hideMark/>
          </w:tcPr>
          <w:p w14:paraId="46128C53" w14:textId="77777777" w:rsidR="000253A1" w:rsidRPr="000253A1" w:rsidRDefault="000253A1" w:rsidP="002813DB">
            <w:pPr>
              <w:spacing w:after="0" w:line="240" w:lineRule="auto"/>
              <w:jc w:val="center"/>
              <w:rPr>
                <w:rFonts w:ascii="Arial" w:eastAsia="Times New Roman" w:hAnsi="Arial" w:cs="Arial"/>
                <w:kern w:val="0"/>
                <w:sz w:val="18"/>
                <w:szCs w:val="18"/>
                <w:lang w:eastAsia="en-GB"/>
                <w14:ligatures w14:val="none"/>
              </w:rPr>
            </w:pPr>
            <w:r w:rsidRPr="000253A1">
              <w:rPr>
                <w:rFonts w:ascii="Arial" w:eastAsia="Times New Roman" w:hAnsi="Arial" w:cs="Arial"/>
                <w:b/>
                <w:bCs/>
                <w:color w:val="FFFFFF" w:themeColor="light1"/>
                <w:kern w:val="24"/>
                <w:sz w:val="18"/>
                <w:szCs w:val="18"/>
                <w:lang w:eastAsia="en-GB"/>
                <w14:ligatures w14:val="none"/>
              </w:rPr>
              <w:lastRenderedPageBreak/>
              <w:t>Quartile</w:t>
            </w:r>
          </w:p>
        </w:tc>
        <w:tc>
          <w:tcPr>
            <w:tcW w:w="1275" w:type="dxa"/>
            <w:tcBorders>
              <w:top w:val="single" w:sz="8" w:space="0" w:color="FFFFFF"/>
              <w:left w:val="single" w:sz="8" w:space="0" w:color="FFFFFF"/>
              <w:bottom w:val="single" w:sz="24" w:space="0" w:color="FFFFFF"/>
              <w:right w:val="single" w:sz="8" w:space="0" w:color="FFFFFF"/>
            </w:tcBorders>
            <w:shd w:val="clear" w:color="auto" w:fill="44257D"/>
            <w:tcMar>
              <w:top w:w="72" w:type="dxa"/>
              <w:left w:w="144" w:type="dxa"/>
              <w:bottom w:w="72" w:type="dxa"/>
              <w:right w:w="144" w:type="dxa"/>
            </w:tcMar>
            <w:hideMark/>
          </w:tcPr>
          <w:p w14:paraId="509E1D99"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light1"/>
                <w:kern w:val="24"/>
                <w:sz w:val="24"/>
                <w:szCs w:val="24"/>
                <w:lang w:eastAsia="en-GB"/>
                <w14:ligatures w14:val="none"/>
              </w:rPr>
              <w:t>2023 Female</w:t>
            </w:r>
          </w:p>
        </w:tc>
        <w:tc>
          <w:tcPr>
            <w:tcW w:w="1276" w:type="dxa"/>
            <w:tcBorders>
              <w:top w:val="single" w:sz="8" w:space="0" w:color="FFFFFF"/>
              <w:left w:val="single" w:sz="8" w:space="0" w:color="FFFFFF"/>
              <w:bottom w:val="single" w:sz="24" w:space="0" w:color="FFFFFF"/>
              <w:right w:val="single" w:sz="8" w:space="0" w:color="FFFFFF"/>
            </w:tcBorders>
            <w:shd w:val="clear" w:color="auto" w:fill="44257D"/>
            <w:tcMar>
              <w:top w:w="72" w:type="dxa"/>
              <w:left w:w="144" w:type="dxa"/>
              <w:bottom w:w="72" w:type="dxa"/>
              <w:right w:w="144" w:type="dxa"/>
            </w:tcMar>
            <w:hideMark/>
          </w:tcPr>
          <w:p w14:paraId="5CE2616E"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light1"/>
                <w:kern w:val="24"/>
                <w:sz w:val="24"/>
                <w:szCs w:val="24"/>
                <w:lang w:eastAsia="en-GB"/>
                <w14:ligatures w14:val="none"/>
              </w:rPr>
              <w:t>2023 Female %</w:t>
            </w:r>
          </w:p>
        </w:tc>
        <w:tc>
          <w:tcPr>
            <w:tcW w:w="1418" w:type="dxa"/>
            <w:tcBorders>
              <w:top w:val="single" w:sz="8" w:space="0" w:color="FFFFFF"/>
              <w:left w:val="single" w:sz="8" w:space="0" w:color="FFFFFF"/>
              <w:bottom w:val="single" w:sz="24" w:space="0" w:color="FFFFFF"/>
              <w:right w:val="single" w:sz="8" w:space="0" w:color="FFFFFF"/>
            </w:tcBorders>
            <w:shd w:val="clear" w:color="auto" w:fill="BE0377"/>
            <w:tcMar>
              <w:top w:w="72" w:type="dxa"/>
              <w:left w:w="144" w:type="dxa"/>
              <w:bottom w:w="72" w:type="dxa"/>
              <w:right w:w="144" w:type="dxa"/>
            </w:tcMar>
            <w:hideMark/>
          </w:tcPr>
          <w:p w14:paraId="73C0938C"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light1"/>
                <w:kern w:val="24"/>
                <w:sz w:val="24"/>
                <w:szCs w:val="24"/>
                <w:lang w:eastAsia="en-GB"/>
                <w14:ligatures w14:val="none"/>
              </w:rPr>
              <w:t>2024 Female</w:t>
            </w:r>
          </w:p>
        </w:tc>
        <w:tc>
          <w:tcPr>
            <w:tcW w:w="1134" w:type="dxa"/>
            <w:tcBorders>
              <w:top w:val="single" w:sz="8" w:space="0" w:color="FFFFFF"/>
              <w:left w:val="single" w:sz="8" w:space="0" w:color="FFFFFF"/>
              <w:bottom w:val="single" w:sz="24" w:space="0" w:color="FFFFFF"/>
              <w:right w:val="single" w:sz="8" w:space="0" w:color="FFFFFF"/>
            </w:tcBorders>
            <w:shd w:val="clear" w:color="auto" w:fill="BE0377"/>
            <w:tcMar>
              <w:top w:w="72" w:type="dxa"/>
              <w:left w:w="144" w:type="dxa"/>
              <w:bottom w:w="72" w:type="dxa"/>
              <w:right w:w="144" w:type="dxa"/>
            </w:tcMar>
            <w:hideMark/>
          </w:tcPr>
          <w:p w14:paraId="3DE952DA"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light1"/>
                <w:kern w:val="24"/>
                <w:sz w:val="24"/>
                <w:szCs w:val="24"/>
                <w:lang w:eastAsia="en-GB"/>
                <w14:ligatures w14:val="none"/>
              </w:rPr>
              <w:t>2024 Female %</w:t>
            </w:r>
          </w:p>
        </w:tc>
        <w:tc>
          <w:tcPr>
            <w:tcW w:w="1134" w:type="dxa"/>
            <w:tcBorders>
              <w:top w:val="single" w:sz="8" w:space="0" w:color="FFFFFF"/>
              <w:left w:val="single" w:sz="8" w:space="0" w:color="FFFFFF"/>
              <w:bottom w:val="single" w:sz="24" w:space="0" w:color="FFFFFF"/>
              <w:right w:val="single" w:sz="8" w:space="0" w:color="FFFFFF"/>
            </w:tcBorders>
            <w:shd w:val="clear" w:color="auto" w:fill="EF7B14"/>
            <w:tcMar>
              <w:top w:w="72" w:type="dxa"/>
              <w:left w:w="144" w:type="dxa"/>
              <w:bottom w:w="72" w:type="dxa"/>
              <w:right w:w="144" w:type="dxa"/>
            </w:tcMar>
            <w:hideMark/>
          </w:tcPr>
          <w:p w14:paraId="3B1C4BBD"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light1"/>
                <w:kern w:val="24"/>
                <w:sz w:val="24"/>
                <w:szCs w:val="24"/>
                <w:lang w:eastAsia="en-GB"/>
                <w14:ligatures w14:val="none"/>
              </w:rPr>
              <w:t xml:space="preserve">2023 </w:t>
            </w:r>
            <w:r w:rsidRPr="000253A1">
              <w:rPr>
                <w:rFonts w:ascii="Arial" w:eastAsia="Times New Roman" w:hAnsi="Arial" w:cs="Arial"/>
                <w:b/>
                <w:bCs/>
                <w:color w:val="FFFFFF" w:themeColor="light1"/>
                <w:kern w:val="24"/>
                <w:sz w:val="24"/>
                <w:szCs w:val="24"/>
                <w:lang w:eastAsia="en-GB"/>
                <w14:ligatures w14:val="none"/>
              </w:rPr>
              <w:br/>
              <w:t>Male</w:t>
            </w:r>
          </w:p>
        </w:tc>
        <w:tc>
          <w:tcPr>
            <w:tcW w:w="1134" w:type="dxa"/>
            <w:tcBorders>
              <w:top w:val="single" w:sz="8" w:space="0" w:color="FFFFFF"/>
              <w:left w:val="single" w:sz="8" w:space="0" w:color="FFFFFF"/>
              <w:bottom w:val="single" w:sz="24" w:space="0" w:color="FFFFFF"/>
              <w:right w:val="single" w:sz="8" w:space="0" w:color="FFFFFF"/>
            </w:tcBorders>
            <w:shd w:val="clear" w:color="auto" w:fill="EF7B14"/>
            <w:tcMar>
              <w:top w:w="72" w:type="dxa"/>
              <w:left w:w="144" w:type="dxa"/>
              <w:bottom w:w="72" w:type="dxa"/>
              <w:right w:w="144" w:type="dxa"/>
            </w:tcMar>
            <w:hideMark/>
          </w:tcPr>
          <w:p w14:paraId="479263A2"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light1"/>
                <w:kern w:val="24"/>
                <w:sz w:val="24"/>
                <w:szCs w:val="24"/>
                <w:lang w:eastAsia="en-GB"/>
                <w14:ligatures w14:val="none"/>
              </w:rPr>
              <w:t xml:space="preserve">2023 </w:t>
            </w:r>
            <w:r w:rsidRPr="000253A1">
              <w:rPr>
                <w:rFonts w:ascii="Arial" w:eastAsia="Times New Roman" w:hAnsi="Arial" w:cs="Arial"/>
                <w:b/>
                <w:bCs/>
                <w:color w:val="FFFFFF" w:themeColor="light1"/>
                <w:kern w:val="24"/>
                <w:sz w:val="24"/>
                <w:szCs w:val="24"/>
                <w:lang w:eastAsia="en-GB"/>
                <w14:ligatures w14:val="none"/>
              </w:rPr>
              <w:br/>
              <w:t>Male %</w:t>
            </w:r>
          </w:p>
        </w:tc>
        <w:tc>
          <w:tcPr>
            <w:tcW w:w="1134" w:type="dxa"/>
            <w:tcBorders>
              <w:top w:val="single" w:sz="8" w:space="0" w:color="FFFFFF"/>
              <w:left w:val="single" w:sz="8" w:space="0" w:color="FFFFFF"/>
              <w:bottom w:val="single" w:sz="24" w:space="0" w:color="FFFFFF"/>
              <w:right w:val="single" w:sz="8" w:space="0" w:color="FFFFFF"/>
            </w:tcBorders>
            <w:shd w:val="clear" w:color="auto" w:fill="00A098"/>
            <w:tcMar>
              <w:top w:w="72" w:type="dxa"/>
              <w:left w:w="144" w:type="dxa"/>
              <w:bottom w:w="72" w:type="dxa"/>
              <w:right w:w="144" w:type="dxa"/>
            </w:tcMar>
            <w:hideMark/>
          </w:tcPr>
          <w:p w14:paraId="56050CC0"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light1"/>
                <w:kern w:val="24"/>
                <w:sz w:val="24"/>
                <w:szCs w:val="24"/>
                <w:lang w:eastAsia="en-GB"/>
                <w14:ligatures w14:val="none"/>
              </w:rPr>
              <w:t xml:space="preserve">2024 </w:t>
            </w:r>
            <w:r w:rsidRPr="000253A1">
              <w:rPr>
                <w:rFonts w:ascii="Arial" w:eastAsia="Times New Roman" w:hAnsi="Arial" w:cs="Arial"/>
                <w:b/>
                <w:bCs/>
                <w:color w:val="FFFFFF" w:themeColor="light1"/>
                <w:kern w:val="24"/>
                <w:sz w:val="24"/>
                <w:szCs w:val="24"/>
                <w:lang w:eastAsia="en-GB"/>
                <w14:ligatures w14:val="none"/>
              </w:rPr>
              <w:br/>
              <w:t>Male</w:t>
            </w:r>
          </w:p>
        </w:tc>
        <w:tc>
          <w:tcPr>
            <w:tcW w:w="1275" w:type="dxa"/>
            <w:tcBorders>
              <w:top w:val="single" w:sz="8" w:space="0" w:color="FFFFFF"/>
              <w:left w:val="single" w:sz="8" w:space="0" w:color="FFFFFF"/>
              <w:bottom w:val="single" w:sz="24" w:space="0" w:color="FFFFFF"/>
              <w:right w:val="single" w:sz="8" w:space="0" w:color="FFFFFF"/>
            </w:tcBorders>
            <w:shd w:val="clear" w:color="auto" w:fill="00A098"/>
            <w:tcMar>
              <w:top w:w="72" w:type="dxa"/>
              <w:left w:w="144" w:type="dxa"/>
              <w:bottom w:w="72" w:type="dxa"/>
              <w:right w:w="144" w:type="dxa"/>
            </w:tcMar>
            <w:hideMark/>
          </w:tcPr>
          <w:p w14:paraId="1AC705DB"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light1"/>
                <w:kern w:val="24"/>
                <w:sz w:val="24"/>
                <w:szCs w:val="24"/>
                <w:lang w:eastAsia="en-GB"/>
                <w14:ligatures w14:val="none"/>
              </w:rPr>
              <w:t xml:space="preserve">2024 </w:t>
            </w:r>
            <w:r w:rsidRPr="000253A1">
              <w:rPr>
                <w:rFonts w:ascii="Arial" w:eastAsia="Times New Roman" w:hAnsi="Arial" w:cs="Arial"/>
                <w:b/>
                <w:bCs/>
                <w:color w:val="FFFFFF" w:themeColor="light1"/>
                <w:kern w:val="24"/>
                <w:sz w:val="24"/>
                <w:szCs w:val="24"/>
                <w:lang w:eastAsia="en-GB"/>
                <w14:ligatures w14:val="none"/>
              </w:rPr>
              <w:br/>
              <w:t>Male %</w:t>
            </w:r>
          </w:p>
        </w:tc>
      </w:tr>
      <w:tr w:rsidR="000253A1" w:rsidRPr="000253A1" w14:paraId="49D066A3" w14:textId="77777777" w:rsidTr="00B33CFA">
        <w:trPr>
          <w:trHeight w:val="296"/>
          <w:jc w:val="center"/>
        </w:trPr>
        <w:tc>
          <w:tcPr>
            <w:tcW w:w="983" w:type="dxa"/>
            <w:tcBorders>
              <w:top w:val="single" w:sz="24" w:space="0" w:color="FFFFFF"/>
              <w:left w:val="single" w:sz="8" w:space="0" w:color="FFFFFF"/>
              <w:bottom w:val="single" w:sz="8" w:space="0" w:color="FFFFFF"/>
              <w:right w:val="single" w:sz="8" w:space="0" w:color="FFFFFF"/>
            </w:tcBorders>
            <w:shd w:val="clear" w:color="auto" w:fill="44257D"/>
            <w:tcMar>
              <w:top w:w="72" w:type="dxa"/>
              <w:left w:w="144" w:type="dxa"/>
              <w:bottom w:w="72" w:type="dxa"/>
              <w:right w:w="144" w:type="dxa"/>
            </w:tcMar>
            <w:hideMark/>
          </w:tcPr>
          <w:p w14:paraId="70263C73"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background1"/>
                <w:kern w:val="24"/>
                <w:sz w:val="24"/>
                <w:szCs w:val="24"/>
                <w:lang w:eastAsia="en-GB"/>
                <w14:ligatures w14:val="none"/>
              </w:rPr>
              <w:t>1</w:t>
            </w:r>
          </w:p>
        </w:tc>
        <w:tc>
          <w:tcPr>
            <w:tcW w:w="127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5EA0955"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1389.00</w:t>
            </w:r>
          </w:p>
        </w:tc>
        <w:tc>
          <w:tcPr>
            <w:tcW w:w="1276"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E74B799"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79.37%</w:t>
            </w:r>
          </w:p>
        </w:tc>
        <w:tc>
          <w:tcPr>
            <w:tcW w:w="141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EB471D9"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1475.00</w:t>
            </w:r>
          </w:p>
        </w:tc>
        <w:tc>
          <w:tcPr>
            <w:tcW w:w="113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B80890B"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79.09%</w:t>
            </w:r>
          </w:p>
        </w:tc>
        <w:tc>
          <w:tcPr>
            <w:tcW w:w="113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D164477"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361.00</w:t>
            </w:r>
          </w:p>
        </w:tc>
        <w:tc>
          <w:tcPr>
            <w:tcW w:w="113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A4D380F"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20.63%</w:t>
            </w:r>
          </w:p>
        </w:tc>
        <w:tc>
          <w:tcPr>
            <w:tcW w:w="113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F6C8571"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390.00</w:t>
            </w:r>
          </w:p>
        </w:tc>
        <w:tc>
          <w:tcPr>
            <w:tcW w:w="1275"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14832C5"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20.91%</w:t>
            </w:r>
          </w:p>
        </w:tc>
      </w:tr>
      <w:tr w:rsidR="000253A1" w:rsidRPr="000253A1" w14:paraId="00E222DF" w14:textId="77777777" w:rsidTr="00B33CFA">
        <w:trPr>
          <w:trHeight w:val="296"/>
          <w:jc w:val="center"/>
        </w:trPr>
        <w:tc>
          <w:tcPr>
            <w:tcW w:w="983" w:type="dxa"/>
            <w:tcBorders>
              <w:top w:val="single" w:sz="8" w:space="0" w:color="FFFFFF"/>
              <w:left w:val="single" w:sz="8" w:space="0" w:color="FFFFFF"/>
              <w:bottom w:val="single" w:sz="8" w:space="0" w:color="FFFFFF"/>
              <w:right w:val="single" w:sz="8" w:space="0" w:color="FFFFFF"/>
            </w:tcBorders>
            <w:shd w:val="clear" w:color="auto" w:fill="44257D"/>
            <w:tcMar>
              <w:top w:w="72" w:type="dxa"/>
              <w:left w:w="144" w:type="dxa"/>
              <w:bottom w:w="72" w:type="dxa"/>
              <w:right w:w="144" w:type="dxa"/>
            </w:tcMar>
            <w:hideMark/>
          </w:tcPr>
          <w:p w14:paraId="5AFE6876"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background1"/>
                <w:kern w:val="24"/>
                <w:sz w:val="24"/>
                <w:szCs w:val="24"/>
                <w:lang w:eastAsia="en-GB"/>
                <w14:ligatures w14:val="none"/>
              </w:rPr>
              <w:t>2</w:t>
            </w:r>
          </w:p>
        </w:tc>
        <w:tc>
          <w:tcPr>
            <w:tcW w:w="12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CFA55B9"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1403.00</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AB798C2"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80.08%</w:t>
            </w:r>
          </w:p>
        </w:tc>
        <w:tc>
          <w:tcPr>
            <w:tcW w:w="141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06C42BC"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1457.00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4491497"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77.83%</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2A7CD14"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349.00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A736B81"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19.92%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8F01BA4"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415.00</w:t>
            </w:r>
          </w:p>
        </w:tc>
        <w:tc>
          <w:tcPr>
            <w:tcW w:w="12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E612C02"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22.17%</w:t>
            </w:r>
          </w:p>
        </w:tc>
      </w:tr>
      <w:tr w:rsidR="000253A1" w:rsidRPr="000253A1" w14:paraId="0ADC9C4F" w14:textId="77777777" w:rsidTr="00B33CFA">
        <w:trPr>
          <w:trHeight w:val="296"/>
          <w:jc w:val="center"/>
        </w:trPr>
        <w:tc>
          <w:tcPr>
            <w:tcW w:w="983" w:type="dxa"/>
            <w:tcBorders>
              <w:top w:val="single" w:sz="8" w:space="0" w:color="FFFFFF"/>
              <w:left w:val="single" w:sz="8" w:space="0" w:color="FFFFFF"/>
              <w:bottom w:val="single" w:sz="8" w:space="0" w:color="FFFFFF"/>
              <w:right w:val="single" w:sz="8" w:space="0" w:color="FFFFFF"/>
            </w:tcBorders>
            <w:shd w:val="clear" w:color="auto" w:fill="44257D"/>
            <w:tcMar>
              <w:top w:w="72" w:type="dxa"/>
              <w:left w:w="144" w:type="dxa"/>
              <w:bottom w:w="72" w:type="dxa"/>
              <w:right w:w="144" w:type="dxa"/>
            </w:tcMar>
            <w:hideMark/>
          </w:tcPr>
          <w:p w14:paraId="7E6065D4"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background1"/>
                <w:kern w:val="24"/>
                <w:sz w:val="24"/>
                <w:szCs w:val="24"/>
                <w:lang w:eastAsia="en-GB"/>
                <w14:ligatures w14:val="none"/>
              </w:rPr>
              <w:t>3</w:t>
            </w:r>
          </w:p>
        </w:tc>
        <w:tc>
          <w:tcPr>
            <w:tcW w:w="127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32F6549"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1492.00</w:t>
            </w:r>
          </w:p>
        </w:tc>
        <w:tc>
          <w:tcPr>
            <w:tcW w:w="1276"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C4D7CDB"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85.21%</w:t>
            </w:r>
          </w:p>
        </w:tc>
        <w:tc>
          <w:tcPr>
            <w:tcW w:w="141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3BBC782"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1570.00</w:t>
            </w:r>
          </w:p>
        </w:tc>
        <w:tc>
          <w:tcPr>
            <w:tcW w:w="113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5E199EB"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83.82%</w:t>
            </w:r>
          </w:p>
        </w:tc>
        <w:tc>
          <w:tcPr>
            <w:tcW w:w="113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ADAC873"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259.00</w:t>
            </w:r>
          </w:p>
        </w:tc>
        <w:tc>
          <w:tcPr>
            <w:tcW w:w="113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648DC2F"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14.79%</w:t>
            </w:r>
          </w:p>
        </w:tc>
        <w:tc>
          <w:tcPr>
            <w:tcW w:w="113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433F362"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303.00</w:t>
            </w:r>
          </w:p>
        </w:tc>
        <w:tc>
          <w:tcPr>
            <w:tcW w:w="1275"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80CB731"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16.18%</w:t>
            </w:r>
          </w:p>
        </w:tc>
      </w:tr>
      <w:tr w:rsidR="000253A1" w:rsidRPr="000253A1" w14:paraId="24AC11C5" w14:textId="77777777" w:rsidTr="00B33CFA">
        <w:trPr>
          <w:trHeight w:val="296"/>
          <w:jc w:val="center"/>
        </w:trPr>
        <w:tc>
          <w:tcPr>
            <w:tcW w:w="983" w:type="dxa"/>
            <w:tcBorders>
              <w:top w:val="single" w:sz="8" w:space="0" w:color="FFFFFF"/>
              <w:left w:val="single" w:sz="8" w:space="0" w:color="FFFFFF"/>
              <w:bottom w:val="single" w:sz="8" w:space="0" w:color="FFFFFF"/>
              <w:right w:val="single" w:sz="8" w:space="0" w:color="FFFFFF"/>
            </w:tcBorders>
            <w:shd w:val="clear" w:color="auto" w:fill="44257D"/>
            <w:tcMar>
              <w:top w:w="72" w:type="dxa"/>
              <w:left w:w="144" w:type="dxa"/>
              <w:bottom w:w="72" w:type="dxa"/>
              <w:right w:w="144" w:type="dxa"/>
            </w:tcMar>
            <w:hideMark/>
          </w:tcPr>
          <w:p w14:paraId="4C653D71"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FFFFFF" w:themeColor="background1"/>
                <w:kern w:val="24"/>
                <w:sz w:val="24"/>
                <w:szCs w:val="24"/>
                <w:lang w:eastAsia="en-GB"/>
                <w14:ligatures w14:val="none"/>
              </w:rPr>
              <w:t>4</w:t>
            </w:r>
          </w:p>
        </w:tc>
        <w:tc>
          <w:tcPr>
            <w:tcW w:w="12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2F30179"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1518.00</w:t>
            </w:r>
          </w:p>
        </w:tc>
        <w:tc>
          <w:tcPr>
            <w:tcW w:w="1276"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F8C6E9A"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86.64%</w:t>
            </w:r>
          </w:p>
        </w:tc>
        <w:tc>
          <w:tcPr>
            <w:tcW w:w="141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97BD625"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1607.00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ED33F3A"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85.89%</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92D8298"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234.00</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1F7B1A0"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13.36%</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66607A4"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264.00</w:t>
            </w:r>
          </w:p>
        </w:tc>
        <w:tc>
          <w:tcPr>
            <w:tcW w:w="1275"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33FE11D" w14:textId="77777777" w:rsidR="000253A1" w:rsidRPr="000253A1" w:rsidRDefault="000253A1" w:rsidP="002813DB">
            <w:pPr>
              <w:spacing w:after="0" w:line="240" w:lineRule="auto"/>
              <w:jc w:val="center"/>
              <w:rPr>
                <w:rFonts w:ascii="Arial" w:eastAsia="Times New Roman" w:hAnsi="Arial" w:cs="Arial"/>
                <w:kern w:val="0"/>
                <w:sz w:val="24"/>
                <w:szCs w:val="24"/>
                <w:lang w:eastAsia="en-GB"/>
                <w14:ligatures w14:val="none"/>
              </w:rPr>
            </w:pPr>
            <w:r w:rsidRPr="000253A1">
              <w:rPr>
                <w:rFonts w:ascii="Arial" w:eastAsia="Times New Roman" w:hAnsi="Arial" w:cs="Arial"/>
                <w:b/>
                <w:bCs/>
                <w:color w:val="000000" w:themeColor="dark1"/>
                <w:kern w:val="24"/>
                <w:sz w:val="24"/>
                <w:szCs w:val="24"/>
                <w:lang w:eastAsia="en-GB"/>
                <w14:ligatures w14:val="none"/>
              </w:rPr>
              <w:t>14.11%</w:t>
            </w:r>
          </w:p>
        </w:tc>
      </w:tr>
    </w:tbl>
    <w:p w14:paraId="6CC7A442" w14:textId="77777777" w:rsidR="000D4755" w:rsidRDefault="000D4755" w:rsidP="000D4755">
      <w:pPr>
        <w:rPr>
          <w:rFonts w:ascii="Arial" w:hAnsi="Arial" w:cs="Arial"/>
          <w:b/>
          <w:bCs/>
          <w:u w:val="single"/>
        </w:rPr>
      </w:pPr>
    </w:p>
    <w:p w14:paraId="69C6FDDC" w14:textId="7804D625" w:rsidR="008E71B3" w:rsidRPr="00B33CFA" w:rsidRDefault="0004386C" w:rsidP="000D4755">
      <w:pPr>
        <w:rPr>
          <w:rFonts w:ascii="Arial" w:hAnsi="Arial" w:cs="Arial"/>
          <w:sz w:val="24"/>
          <w:szCs w:val="24"/>
        </w:rPr>
      </w:pPr>
      <w:bookmarkStart w:id="4" w:name="_Hlk180654633"/>
      <w:bookmarkEnd w:id="3"/>
      <w:r w:rsidRPr="00B33CFA">
        <w:rPr>
          <w:rFonts w:ascii="Arial" w:hAnsi="Arial" w:cs="Arial"/>
          <w:b/>
          <w:bCs/>
          <w:sz w:val="24"/>
          <w:szCs w:val="24"/>
          <w:u w:val="single"/>
        </w:rPr>
        <w:t xml:space="preserve">Bonus Pay Gap </w:t>
      </w:r>
    </w:p>
    <w:p w14:paraId="30FED62A" w14:textId="33C9B09C" w:rsidR="0004386C" w:rsidRPr="00B33CFA" w:rsidRDefault="0004386C" w:rsidP="000D4755">
      <w:pPr>
        <w:rPr>
          <w:rFonts w:ascii="Arial" w:hAnsi="Arial" w:cs="Arial"/>
          <w:sz w:val="24"/>
          <w:szCs w:val="24"/>
        </w:rPr>
      </w:pPr>
      <w:r w:rsidRPr="00B33CFA">
        <w:rPr>
          <w:rFonts w:ascii="Arial" w:hAnsi="Arial" w:cs="Arial"/>
          <w:sz w:val="24"/>
          <w:szCs w:val="24"/>
        </w:rPr>
        <w:t xml:space="preserve">The Trust does not provide traditional performance-based bonuses. For the purposes of gender pay gap reporting, national and local Clinical Excellence Awards (CEAs), </w:t>
      </w:r>
      <w:r w:rsidRPr="00B33CFA">
        <w:rPr>
          <w:rFonts w:ascii="Arial" w:hAnsi="Arial" w:cs="Arial"/>
          <w:b/>
          <w:bCs/>
          <w:sz w:val="24"/>
          <w:szCs w:val="24"/>
        </w:rPr>
        <w:t>which are exclusively awarded to medical and dental consultants</w:t>
      </w:r>
      <w:r w:rsidRPr="00B33CFA">
        <w:rPr>
          <w:rFonts w:ascii="Arial" w:hAnsi="Arial" w:cs="Arial"/>
          <w:sz w:val="24"/>
          <w:szCs w:val="24"/>
        </w:rPr>
        <w:t>, are categori</w:t>
      </w:r>
      <w:r w:rsidR="00BA5EEB" w:rsidRPr="00B33CFA">
        <w:rPr>
          <w:rFonts w:ascii="Arial" w:hAnsi="Arial" w:cs="Arial"/>
          <w:sz w:val="24"/>
          <w:szCs w:val="24"/>
        </w:rPr>
        <w:t>s</w:t>
      </w:r>
      <w:r w:rsidRPr="00B33CFA">
        <w:rPr>
          <w:rFonts w:ascii="Arial" w:hAnsi="Arial" w:cs="Arial"/>
          <w:sz w:val="24"/>
          <w:szCs w:val="24"/>
        </w:rPr>
        <w:t>ed as bonus payments. Prior to the COVID-19 pandemic, CEAs were granted competitively to recognise exceptional contributions to quality and excellence. However, in response to the pandemic, NHS Employers, in conjunction with the British Medical Association (BMA), directed NHS Trusts to distribute local CEA funding equally among eligible consultants to optimi</w:t>
      </w:r>
      <w:r w:rsidR="00BA5EEB" w:rsidRPr="00B33CFA">
        <w:rPr>
          <w:rFonts w:ascii="Arial" w:hAnsi="Arial" w:cs="Arial"/>
          <w:sz w:val="24"/>
          <w:szCs w:val="24"/>
        </w:rPr>
        <w:t>s</w:t>
      </w:r>
      <w:r w:rsidRPr="00B33CFA">
        <w:rPr>
          <w:rFonts w:ascii="Arial" w:hAnsi="Arial" w:cs="Arial"/>
          <w:sz w:val="24"/>
          <w:szCs w:val="24"/>
        </w:rPr>
        <w:t>e clinical and managerial capacity for patient care.</w:t>
      </w:r>
    </w:p>
    <w:p w14:paraId="4E19E90F" w14:textId="5B20E95F" w:rsidR="000D4755" w:rsidRPr="00B33CFA" w:rsidRDefault="0004386C" w:rsidP="000D4755">
      <w:pPr>
        <w:rPr>
          <w:rFonts w:ascii="Arial" w:hAnsi="Arial" w:cs="Arial"/>
          <w:sz w:val="24"/>
          <w:szCs w:val="24"/>
        </w:rPr>
      </w:pPr>
      <w:r w:rsidRPr="00B33CFA">
        <w:rPr>
          <w:rFonts w:ascii="Arial" w:hAnsi="Arial" w:cs="Arial"/>
          <w:sz w:val="24"/>
          <w:szCs w:val="24"/>
        </w:rPr>
        <w:t>On reviewing the old Clinical Excellence Awards data which was pre-2018 when the awards were consolidated and paid for the duration of your career, this demonstrated 99 doctors having an old Clinical Excellence Award of which 28 of these were women which demonstrates 28% were in possession of an award however it was interesting to note that only 2% of females had a level 5-9.  When comparing this to the equal split of the new local Clinical Excellence Awards post-2018 which were non-</w:t>
      </w:r>
      <w:r w:rsidR="00BA5EEB" w:rsidRPr="00B33CFA">
        <w:rPr>
          <w:rFonts w:ascii="Arial" w:hAnsi="Arial" w:cs="Arial"/>
          <w:sz w:val="24"/>
          <w:szCs w:val="24"/>
        </w:rPr>
        <w:t>consolidated,</w:t>
      </w:r>
      <w:r w:rsidRPr="00B33CFA">
        <w:rPr>
          <w:rFonts w:ascii="Arial" w:hAnsi="Arial" w:cs="Arial"/>
          <w:sz w:val="24"/>
          <w:szCs w:val="24"/>
        </w:rPr>
        <w:t xml:space="preserve"> and time limited which demonstrated 35% of our doctors are female with 34% being eligible to receive an award.</w:t>
      </w:r>
    </w:p>
    <w:p w14:paraId="14CAB756" w14:textId="3CCB3A21" w:rsidR="0095228A" w:rsidRPr="00B33CFA" w:rsidRDefault="0095228A" w:rsidP="000D4755">
      <w:pPr>
        <w:rPr>
          <w:rFonts w:ascii="Arial" w:hAnsi="Arial" w:cs="Arial"/>
          <w:sz w:val="24"/>
          <w:szCs w:val="24"/>
        </w:rPr>
      </w:pPr>
      <w:r w:rsidRPr="00B33CFA">
        <w:rPr>
          <w:rFonts w:ascii="Arial" w:hAnsi="Arial" w:cs="Arial"/>
          <w:b/>
          <w:bCs/>
          <w:sz w:val="24"/>
          <w:szCs w:val="24"/>
        </w:rPr>
        <w:t>For this year’s award</w:t>
      </w:r>
      <w:r w:rsidR="000253A1" w:rsidRPr="00B33CFA">
        <w:rPr>
          <w:rFonts w:ascii="Arial" w:hAnsi="Arial" w:cs="Arial"/>
          <w:sz w:val="24"/>
          <w:szCs w:val="24"/>
        </w:rPr>
        <w:t>:</w:t>
      </w:r>
    </w:p>
    <w:p w14:paraId="4F5031CB" w14:textId="76B4E9D8" w:rsidR="0095228A" w:rsidRPr="00B33CFA" w:rsidRDefault="0095228A" w:rsidP="0095228A">
      <w:pPr>
        <w:pStyle w:val="ListParagraph"/>
        <w:numPr>
          <w:ilvl w:val="0"/>
          <w:numId w:val="18"/>
        </w:numPr>
        <w:rPr>
          <w:rFonts w:ascii="Arial" w:hAnsi="Arial" w:cs="Arial"/>
          <w:sz w:val="24"/>
          <w:szCs w:val="24"/>
        </w:rPr>
      </w:pPr>
      <w:r w:rsidRPr="00B33CFA">
        <w:rPr>
          <w:rFonts w:ascii="Arial" w:hAnsi="Arial" w:cs="Arial"/>
          <w:sz w:val="24"/>
          <w:szCs w:val="24"/>
        </w:rPr>
        <w:t xml:space="preserve">294 doctors were employed with 274 meeting the eligibility criteria for the </w:t>
      </w:r>
      <w:r w:rsidR="00B60302" w:rsidRPr="00B33CFA">
        <w:rPr>
          <w:rFonts w:ascii="Arial" w:hAnsi="Arial" w:cs="Arial"/>
          <w:sz w:val="24"/>
          <w:szCs w:val="24"/>
        </w:rPr>
        <w:t>award.</w:t>
      </w:r>
    </w:p>
    <w:p w14:paraId="3B2AB482" w14:textId="6C2129DF" w:rsidR="0095228A" w:rsidRPr="00B33CFA" w:rsidRDefault="0095228A" w:rsidP="0095228A">
      <w:pPr>
        <w:pStyle w:val="ListParagraph"/>
        <w:numPr>
          <w:ilvl w:val="0"/>
          <w:numId w:val="18"/>
        </w:numPr>
        <w:rPr>
          <w:rFonts w:ascii="Arial" w:hAnsi="Arial" w:cs="Arial"/>
          <w:sz w:val="24"/>
          <w:szCs w:val="24"/>
        </w:rPr>
      </w:pPr>
      <w:r w:rsidRPr="00B33CFA">
        <w:rPr>
          <w:rFonts w:ascii="Arial" w:hAnsi="Arial" w:cs="Arial"/>
          <w:sz w:val="24"/>
          <w:szCs w:val="24"/>
        </w:rPr>
        <w:t xml:space="preserve">103 of those were females, 93 were eligible for the award equating to 34% of the workforce. </w:t>
      </w:r>
    </w:p>
    <w:p w14:paraId="6F7C1351" w14:textId="1FB68955" w:rsidR="0095228A" w:rsidRPr="00B33CFA" w:rsidRDefault="0095228A" w:rsidP="0095228A">
      <w:pPr>
        <w:pStyle w:val="ListParagraph"/>
        <w:numPr>
          <w:ilvl w:val="0"/>
          <w:numId w:val="18"/>
        </w:numPr>
        <w:rPr>
          <w:rFonts w:ascii="Arial" w:hAnsi="Arial" w:cs="Arial"/>
          <w:sz w:val="24"/>
          <w:szCs w:val="24"/>
        </w:rPr>
      </w:pPr>
      <w:r w:rsidRPr="00B33CFA">
        <w:rPr>
          <w:rFonts w:ascii="Arial" w:hAnsi="Arial" w:cs="Arial"/>
          <w:sz w:val="24"/>
          <w:szCs w:val="24"/>
        </w:rPr>
        <w:t xml:space="preserve">46 of the 274 </w:t>
      </w:r>
      <w:r w:rsidR="00B33CFA" w:rsidRPr="00B33CFA">
        <w:rPr>
          <w:rFonts w:ascii="Arial" w:hAnsi="Arial" w:cs="Arial"/>
          <w:sz w:val="24"/>
          <w:szCs w:val="24"/>
        </w:rPr>
        <w:t>headcounts</w:t>
      </w:r>
      <w:r w:rsidRPr="00B33CFA">
        <w:rPr>
          <w:rFonts w:ascii="Arial" w:hAnsi="Arial" w:cs="Arial"/>
          <w:sz w:val="24"/>
          <w:szCs w:val="24"/>
        </w:rPr>
        <w:t xml:space="preserve"> were less than full time (LTFT) 17%</w:t>
      </w:r>
    </w:p>
    <w:p w14:paraId="61B0D844" w14:textId="6E793532" w:rsidR="0095228A" w:rsidRPr="00B33CFA" w:rsidRDefault="0095228A" w:rsidP="0095228A">
      <w:pPr>
        <w:pStyle w:val="ListParagraph"/>
        <w:numPr>
          <w:ilvl w:val="0"/>
          <w:numId w:val="18"/>
        </w:numPr>
        <w:rPr>
          <w:rFonts w:ascii="Arial" w:hAnsi="Arial" w:cs="Arial"/>
          <w:sz w:val="24"/>
          <w:szCs w:val="24"/>
        </w:rPr>
      </w:pPr>
      <w:r w:rsidRPr="00B33CFA">
        <w:rPr>
          <w:rFonts w:ascii="Arial" w:hAnsi="Arial" w:cs="Arial"/>
          <w:sz w:val="24"/>
          <w:szCs w:val="24"/>
        </w:rPr>
        <w:lastRenderedPageBreak/>
        <w:t xml:space="preserve">25 of the 46 LTFT were female </w:t>
      </w:r>
      <w:r w:rsidR="00B60302" w:rsidRPr="00B33CFA">
        <w:rPr>
          <w:rFonts w:ascii="Arial" w:hAnsi="Arial" w:cs="Arial"/>
          <w:sz w:val="24"/>
          <w:szCs w:val="24"/>
        </w:rPr>
        <w:t>54%.</w:t>
      </w:r>
    </w:p>
    <w:p w14:paraId="06D81ECB" w14:textId="77777777" w:rsidR="001247AF" w:rsidRDefault="009F3FD4" w:rsidP="009F3FD4">
      <w:pPr>
        <w:rPr>
          <w:rFonts w:ascii="Arial" w:hAnsi="Arial" w:cs="Arial"/>
          <w:sz w:val="24"/>
          <w:szCs w:val="24"/>
        </w:rPr>
      </w:pPr>
      <w:r w:rsidRPr="00B33CFA">
        <w:rPr>
          <w:rFonts w:ascii="Arial" w:hAnsi="Arial" w:cs="Arial"/>
          <w:sz w:val="24"/>
          <w:szCs w:val="24"/>
        </w:rPr>
        <w:t>The median gender pay gap</w:t>
      </w:r>
      <w:r w:rsidR="00BA5EEB" w:rsidRPr="00B33CFA">
        <w:rPr>
          <w:rFonts w:ascii="Arial" w:hAnsi="Arial" w:cs="Arial"/>
          <w:sz w:val="24"/>
          <w:szCs w:val="24"/>
        </w:rPr>
        <w:t xml:space="preserve"> (excluding historic bonus)</w:t>
      </w:r>
      <w:r w:rsidRPr="00B33CFA">
        <w:rPr>
          <w:rFonts w:ascii="Arial" w:hAnsi="Arial" w:cs="Arial"/>
          <w:sz w:val="24"/>
          <w:szCs w:val="24"/>
        </w:rPr>
        <w:t xml:space="preserve"> has been eliminated, reflecting the non-competitive nature of the process that awarded equal-value local CEAs to a greater number of consultants this year.</w:t>
      </w:r>
      <w:r w:rsidR="00AD7E93">
        <w:rPr>
          <w:rFonts w:ascii="Arial" w:hAnsi="Arial" w:cs="Arial"/>
          <w:sz w:val="24"/>
          <w:szCs w:val="24"/>
        </w:rPr>
        <w:t xml:space="preserve"> When including the historic pre 2018 data, the gap is 43%. </w:t>
      </w:r>
    </w:p>
    <w:p w14:paraId="16D5ABC0" w14:textId="3A6D1C01" w:rsidR="009F3FD4" w:rsidRPr="00B33CFA" w:rsidRDefault="00AD7E93" w:rsidP="009F3FD4">
      <w:pPr>
        <w:rPr>
          <w:rFonts w:ascii="Arial" w:hAnsi="Arial" w:cs="Arial"/>
          <w:sz w:val="24"/>
          <w:szCs w:val="24"/>
        </w:rPr>
      </w:pPr>
      <w:r>
        <w:rPr>
          <w:rFonts w:ascii="Arial" w:hAnsi="Arial" w:cs="Arial"/>
          <w:sz w:val="24"/>
          <w:szCs w:val="24"/>
        </w:rPr>
        <w:t xml:space="preserve">The total number of men in the organisation that received a bonus payment is 3.3% and women is 0.3% as a total of the headcount. </w:t>
      </w:r>
    </w:p>
    <w:p w14:paraId="19FA208F" w14:textId="03322B70" w:rsidR="006D1459" w:rsidRPr="00B33CFA" w:rsidRDefault="009F3FD4" w:rsidP="006D1459">
      <w:pPr>
        <w:rPr>
          <w:rFonts w:ascii="Arial" w:hAnsi="Arial" w:cs="Arial"/>
          <w:sz w:val="24"/>
          <w:szCs w:val="24"/>
        </w:rPr>
      </w:pPr>
      <w:r w:rsidRPr="00B33CFA">
        <w:rPr>
          <w:rFonts w:ascii="Arial" w:hAnsi="Arial" w:cs="Arial"/>
          <w:sz w:val="24"/>
          <w:szCs w:val="24"/>
        </w:rPr>
        <w:t xml:space="preserve">The mean bonus pay gap is 43.45%. This disparity is primarily due to the underrepresentation of female consultants in </w:t>
      </w:r>
      <w:r w:rsidR="005D13EE" w:rsidRPr="00B33CFA">
        <w:rPr>
          <w:rFonts w:ascii="Arial" w:hAnsi="Arial" w:cs="Arial"/>
          <w:sz w:val="24"/>
          <w:szCs w:val="24"/>
        </w:rPr>
        <w:t>receipt of the pre 2018 CEAs</w:t>
      </w:r>
      <w:r w:rsidR="00B60302" w:rsidRPr="00B33CFA">
        <w:rPr>
          <w:rFonts w:ascii="Arial" w:hAnsi="Arial" w:cs="Arial"/>
          <w:sz w:val="24"/>
          <w:szCs w:val="24"/>
        </w:rPr>
        <w:t xml:space="preserve">. </w:t>
      </w:r>
      <w:r w:rsidRPr="00B33CFA">
        <w:rPr>
          <w:rFonts w:ascii="Arial" w:hAnsi="Arial" w:cs="Arial"/>
          <w:sz w:val="24"/>
          <w:szCs w:val="24"/>
        </w:rPr>
        <w:t xml:space="preserve"> Additionally, the mean bonus pay gap is skewed by the disproportionate number of male consultants receiving these higher-level </w:t>
      </w:r>
      <w:r w:rsidR="005D13EE" w:rsidRPr="00B33CFA">
        <w:rPr>
          <w:rFonts w:ascii="Arial" w:hAnsi="Arial" w:cs="Arial"/>
          <w:sz w:val="24"/>
          <w:szCs w:val="24"/>
        </w:rPr>
        <w:t>pre 2018 CEAs</w:t>
      </w:r>
      <w:r w:rsidRPr="00B33CFA">
        <w:rPr>
          <w:rFonts w:ascii="Arial" w:hAnsi="Arial" w:cs="Arial"/>
          <w:sz w:val="24"/>
          <w:szCs w:val="24"/>
        </w:rPr>
        <w:t>.</w:t>
      </w:r>
      <w:r w:rsidR="005D13EE" w:rsidRPr="00B33CFA">
        <w:rPr>
          <w:rFonts w:ascii="Arial" w:hAnsi="Arial" w:cs="Arial"/>
          <w:sz w:val="24"/>
          <w:szCs w:val="24"/>
        </w:rPr>
        <w:t xml:space="preserve"> </w:t>
      </w:r>
      <w:r w:rsidR="006D1459" w:rsidRPr="00B33CFA">
        <w:rPr>
          <w:rFonts w:ascii="Arial" w:hAnsi="Arial" w:cs="Arial"/>
          <w:sz w:val="24"/>
          <w:szCs w:val="24"/>
        </w:rPr>
        <w:t>This is the final year the local award will be applied</w:t>
      </w:r>
      <w:r w:rsidR="00B60302" w:rsidRPr="00B33CFA">
        <w:rPr>
          <w:rFonts w:ascii="Arial" w:hAnsi="Arial" w:cs="Arial"/>
          <w:sz w:val="24"/>
          <w:szCs w:val="24"/>
        </w:rPr>
        <w:t xml:space="preserve">. </w:t>
      </w:r>
      <w:r w:rsidR="006D1459" w:rsidRPr="00B33CFA">
        <w:rPr>
          <w:rFonts w:ascii="Arial" w:hAnsi="Arial" w:cs="Arial"/>
          <w:sz w:val="24"/>
          <w:szCs w:val="24"/>
        </w:rPr>
        <w:t xml:space="preserve">Next year there will be a change to the consultant pay from April </w:t>
      </w:r>
      <w:hyperlink r:id="rId22" w:history="1">
        <w:r w:rsidR="006D1459" w:rsidRPr="00B33CFA">
          <w:rPr>
            <w:rStyle w:val="Hyperlink"/>
            <w:rFonts w:ascii="Arial" w:hAnsi="Arial" w:cs="Arial"/>
            <w:sz w:val="24"/>
            <w:szCs w:val="24"/>
          </w:rPr>
          <w:t>Consultant doctors and dentists pay progression system guidance | NHS Employers</w:t>
        </w:r>
      </w:hyperlink>
      <w:r w:rsidR="006D1459" w:rsidRPr="00B33CFA">
        <w:rPr>
          <w:rFonts w:ascii="Arial" w:hAnsi="Arial" w:cs="Arial"/>
          <w:sz w:val="24"/>
          <w:szCs w:val="24"/>
        </w:rPr>
        <w:t>.</w:t>
      </w:r>
    </w:p>
    <w:p w14:paraId="76901B19" w14:textId="6D46ED15" w:rsidR="000D4755" w:rsidRPr="00B33CFA" w:rsidRDefault="000D4755" w:rsidP="000D4755">
      <w:pPr>
        <w:rPr>
          <w:rFonts w:ascii="Arial" w:hAnsi="Arial" w:cs="Arial"/>
          <w:b/>
          <w:bCs/>
          <w:sz w:val="24"/>
          <w:szCs w:val="24"/>
        </w:rPr>
      </w:pPr>
      <w:r w:rsidRPr="00B33CFA">
        <w:rPr>
          <w:rFonts w:ascii="Arial" w:hAnsi="Arial" w:cs="Arial"/>
          <w:b/>
          <w:bCs/>
          <w:sz w:val="24"/>
          <w:szCs w:val="24"/>
        </w:rPr>
        <w:t>Our</w:t>
      </w:r>
      <w:r w:rsidR="009F3FD4" w:rsidRPr="00B33CFA">
        <w:rPr>
          <w:rFonts w:ascii="Arial" w:hAnsi="Arial" w:cs="Arial"/>
          <w:b/>
          <w:bCs/>
          <w:sz w:val="24"/>
          <w:szCs w:val="24"/>
        </w:rPr>
        <w:t xml:space="preserve"> Mean</w:t>
      </w:r>
      <w:r w:rsidRPr="00B33CFA">
        <w:rPr>
          <w:rFonts w:ascii="Arial" w:hAnsi="Arial" w:cs="Arial"/>
          <w:b/>
          <w:bCs/>
          <w:sz w:val="24"/>
          <w:szCs w:val="24"/>
        </w:rPr>
        <w:t xml:space="preserve"> bonus pay gap all </w:t>
      </w:r>
      <w:r w:rsidR="00B60302" w:rsidRPr="00B33CFA">
        <w:rPr>
          <w:rFonts w:ascii="Arial" w:hAnsi="Arial" w:cs="Arial"/>
          <w:b/>
          <w:bCs/>
          <w:sz w:val="24"/>
          <w:szCs w:val="24"/>
        </w:rPr>
        <w:t>tables.</w:t>
      </w:r>
      <w:r w:rsidRPr="00B33CFA">
        <w:rPr>
          <w:rFonts w:ascii="Arial" w:hAnsi="Arial" w:cs="Arial"/>
          <w:b/>
          <w:bCs/>
          <w:sz w:val="24"/>
          <w:szCs w:val="24"/>
        </w:rPr>
        <w:t xml:space="preserve"> </w:t>
      </w:r>
    </w:p>
    <w:p w14:paraId="116C7796" w14:textId="77777777" w:rsidR="000D4755" w:rsidRPr="008060D7" w:rsidRDefault="000D4755" w:rsidP="000D4755">
      <w:pPr>
        <w:rPr>
          <w:rFonts w:ascii="Arial" w:hAnsi="Arial" w:cs="Arial"/>
          <w:b/>
          <w:bCs/>
        </w:rPr>
      </w:pPr>
      <w:r>
        <w:rPr>
          <w:rFonts w:ascii="Arial" w:hAnsi="Arial" w:cs="Arial"/>
          <w:b/>
          <w:bCs/>
        </w:rPr>
        <w:t>Table 6</w:t>
      </w:r>
    </w:p>
    <w:bookmarkEnd w:id="4"/>
    <w:p w14:paraId="102FC97C" w14:textId="462A4DA1" w:rsidR="000D4755" w:rsidRDefault="001B5100" w:rsidP="00683A73">
      <w:pPr>
        <w:jc w:val="center"/>
      </w:pPr>
      <w:r>
        <w:rPr>
          <w:noProof/>
        </w:rPr>
        <w:drawing>
          <wp:inline distT="0" distB="0" distL="0" distR="0" wp14:anchorId="5FF0EE3B" wp14:editId="06C6F2A9">
            <wp:extent cx="6137910" cy="1411505"/>
            <wp:effectExtent l="0" t="0" r="0" b="0"/>
            <wp:docPr id="219959397" name="Picture 1" descr="A graph of numbers and percent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59397" name="Picture 1" descr="A graph of numbers and percentages&#10;&#10;Description automatically generated with medium confidence"/>
                    <pic:cNvPicPr/>
                  </pic:nvPicPr>
                  <pic:blipFill>
                    <a:blip r:embed="rId23"/>
                    <a:stretch>
                      <a:fillRect/>
                    </a:stretch>
                  </pic:blipFill>
                  <pic:spPr>
                    <a:xfrm>
                      <a:off x="0" y="0"/>
                      <a:ext cx="6167517" cy="1418314"/>
                    </a:xfrm>
                    <a:prstGeom prst="rect">
                      <a:avLst/>
                    </a:prstGeom>
                  </pic:spPr>
                </pic:pic>
              </a:graphicData>
            </a:graphic>
          </wp:inline>
        </w:drawing>
      </w:r>
    </w:p>
    <w:p w14:paraId="1B5B295B" w14:textId="1C9B2BE7" w:rsidR="000D4755" w:rsidRPr="00B33CFA" w:rsidRDefault="00200F72" w:rsidP="000D4755">
      <w:pPr>
        <w:rPr>
          <w:rFonts w:ascii="Arial" w:hAnsi="Arial" w:cs="Arial"/>
          <w:b/>
          <w:bCs/>
          <w:sz w:val="24"/>
          <w:szCs w:val="24"/>
          <w:u w:val="single"/>
        </w:rPr>
      </w:pPr>
      <w:bookmarkStart w:id="5" w:name="_Hlk180654657"/>
      <w:r w:rsidRPr="00B33CFA">
        <w:rPr>
          <w:rFonts w:ascii="Arial" w:hAnsi="Arial" w:cs="Arial"/>
          <w:b/>
          <w:bCs/>
          <w:sz w:val="24"/>
          <w:szCs w:val="24"/>
          <w:u w:val="single"/>
        </w:rPr>
        <w:t>Conclusion</w:t>
      </w:r>
    </w:p>
    <w:p w14:paraId="31A06037" w14:textId="3D4D10EF" w:rsidR="00B06AB6" w:rsidRPr="00B33CFA" w:rsidRDefault="00B06AB6" w:rsidP="00B06AB6">
      <w:pPr>
        <w:pStyle w:val="NormalWeb"/>
        <w:rPr>
          <w:rFonts w:ascii="Arial" w:hAnsi="Arial" w:cs="Arial"/>
        </w:rPr>
      </w:pPr>
      <w:r w:rsidRPr="00B33CFA">
        <w:rPr>
          <w:rFonts w:ascii="Arial" w:hAnsi="Arial" w:cs="Arial"/>
        </w:rPr>
        <w:t xml:space="preserve">We are pleased that our overall mean pay gap has decreased consecutively each year since 2021. Over this four-year period, we have </w:t>
      </w:r>
      <w:r w:rsidR="00A80E8B" w:rsidRPr="00B33CFA">
        <w:rPr>
          <w:rFonts w:ascii="Arial" w:hAnsi="Arial" w:cs="Arial"/>
        </w:rPr>
        <w:t>seen</w:t>
      </w:r>
      <w:r w:rsidRPr="00B33CFA">
        <w:rPr>
          <w:rFonts w:ascii="Arial" w:hAnsi="Arial" w:cs="Arial"/>
        </w:rPr>
        <w:t xml:space="preserve"> a 6.58% (7 pence) reduction, followed by a 1.15% (1 pence) reduction year-on-year. Our annual staff survey, which asks "I am satisfied with my level of pay," has shown a positive trend, with a 10% decrease in dissatisfied female staff and an 8.44% decrease in dissatisfied male staff. While much of the rate of pay is beyond the Trust's direct influence, these figures demonstrate an improving trend in colleague satisfaction regarding pay levels.</w:t>
      </w:r>
    </w:p>
    <w:p w14:paraId="27E8FA9A" w14:textId="77777777" w:rsidR="00B33CFA" w:rsidRPr="00B33CFA" w:rsidRDefault="00B06AB6" w:rsidP="00B06AB6">
      <w:pPr>
        <w:pStyle w:val="NormalWeb"/>
        <w:rPr>
          <w:rFonts w:ascii="Arial" w:hAnsi="Arial" w:cs="Arial"/>
        </w:rPr>
      </w:pPr>
      <w:r w:rsidRPr="00B33CFA">
        <w:rPr>
          <w:rFonts w:ascii="Arial" w:hAnsi="Arial" w:cs="Arial"/>
        </w:rPr>
        <w:lastRenderedPageBreak/>
        <w:t xml:space="preserve">The disparity between the mean and median pay gap indicates that the gap is primarily driven by a small group of high-earning male individuals. Despite being underrepresented in the overall workforce, male staff are overrepresented in the highest-earning positions, contributing significantly to the pay gap. When medical and dental staff are excluded from the calculations, a pay gap of 6 pence in </w:t>
      </w:r>
      <w:r w:rsidR="00A80E8B" w:rsidRPr="00B33CFA">
        <w:rPr>
          <w:rFonts w:ascii="Arial" w:hAnsi="Arial" w:cs="Arial"/>
        </w:rPr>
        <w:t>favour</w:t>
      </w:r>
      <w:r w:rsidRPr="00B33CFA">
        <w:rPr>
          <w:rFonts w:ascii="Arial" w:hAnsi="Arial" w:cs="Arial"/>
        </w:rPr>
        <w:t xml:space="preserve"> of females is observed.</w:t>
      </w:r>
    </w:p>
    <w:p w14:paraId="10FF857B" w14:textId="0E532CC3" w:rsidR="00B06AB6" w:rsidRPr="00B33CFA" w:rsidRDefault="00B06AB6" w:rsidP="00B06AB6">
      <w:pPr>
        <w:pStyle w:val="NormalWeb"/>
        <w:rPr>
          <w:rFonts w:ascii="Arial" w:hAnsi="Arial" w:cs="Arial"/>
        </w:rPr>
      </w:pPr>
      <w:r w:rsidRPr="00B33CFA">
        <w:rPr>
          <w:rFonts w:ascii="Arial" w:hAnsi="Arial" w:cs="Arial"/>
        </w:rPr>
        <w:t>While the number of women in senior management positions has increased by 18%, this positive development has contributed to a narrowing of the pay gap. However, the complete elimination of the gap will necessitate sustained efforts, as the impact of increasing salaries for women in the upper quartile is partially offset by recent workforce changes.</w:t>
      </w:r>
    </w:p>
    <w:p w14:paraId="4E4BCE4F" w14:textId="73B35E13" w:rsidR="000D4755" w:rsidRPr="00B33CFA" w:rsidRDefault="00B06AB6" w:rsidP="00B06AB6">
      <w:pPr>
        <w:rPr>
          <w:rFonts w:ascii="Arial" w:hAnsi="Arial" w:cs="Arial"/>
          <w:b/>
          <w:bCs/>
          <w:sz w:val="24"/>
          <w:szCs w:val="24"/>
          <w:u w:val="single"/>
        </w:rPr>
      </w:pPr>
      <w:bookmarkStart w:id="6" w:name="_Hlk180654676"/>
      <w:bookmarkEnd w:id="5"/>
      <w:r w:rsidRPr="00B33CFA">
        <w:rPr>
          <w:rFonts w:ascii="Arial" w:hAnsi="Arial" w:cs="Arial"/>
          <w:b/>
          <w:bCs/>
          <w:sz w:val="24"/>
          <w:szCs w:val="24"/>
          <w:u w:val="single"/>
        </w:rPr>
        <w:t>R</w:t>
      </w:r>
      <w:r w:rsidR="000D4755" w:rsidRPr="00B33CFA">
        <w:rPr>
          <w:rFonts w:ascii="Arial" w:eastAsia="Times New Roman" w:hAnsi="Arial" w:cs="Arial"/>
          <w:b/>
          <w:bCs/>
          <w:kern w:val="0"/>
          <w:sz w:val="24"/>
          <w:szCs w:val="24"/>
          <w:u w:val="single"/>
          <w:lang w:eastAsia="en-GB"/>
          <w14:ligatures w14:val="none"/>
        </w:rPr>
        <w:t xml:space="preserve">educing the Gender Pay Gap at </w:t>
      </w:r>
      <w:r w:rsidR="00B33CFA" w:rsidRPr="00B33CFA">
        <w:rPr>
          <w:rFonts w:ascii="Arial" w:eastAsia="Times New Roman" w:hAnsi="Arial" w:cs="Arial"/>
          <w:b/>
          <w:bCs/>
          <w:kern w:val="0"/>
          <w:sz w:val="24"/>
          <w:szCs w:val="24"/>
          <w:u w:val="single"/>
          <w:lang w:eastAsia="en-GB"/>
          <w14:ligatures w14:val="none"/>
        </w:rPr>
        <w:t xml:space="preserve">The </w:t>
      </w:r>
      <w:r w:rsidR="000D4755" w:rsidRPr="00B33CFA">
        <w:rPr>
          <w:rFonts w:ascii="Arial" w:eastAsia="Times New Roman" w:hAnsi="Arial" w:cs="Arial"/>
          <w:b/>
          <w:bCs/>
          <w:kern w:val="0"/>
          <w:sz w:val="24"/>
          <w:szCs w:val="24"/>
          <w:u w:val="single"/>
          <w:lang w:eastAsia="en-GB"/>
          <w14:ligatures w14:val="none"/>
        </w:rPr>
        <w:t>Shrewsbury and Telford NHS Trust</w:t>
      </w:r>
    </w:p>
    <w:p w14:paraId="41F3755D" w14:textId="7695AA2E" w:rsidR="000D4755" w:rsidRPr="00B33CFA" w:rsidRDefault="000D4755" w:rsidP="000D4755">
      <w:pPr>
        <w:spacing w:before="100" w:beforeAutospacing="1" w:after="100" w:afterAutospacing="1" w:line="240" w:lineRule="auto"/>
        <w:rPr>
          <w:rFonts w:ascii="Arial" w:eastAsia="Times New Roman" w:hAnsi="Arial" w:cs="Arial"/>
          <w:kern w:val="0"/>
          <w:sz w:val="24"/>
          <w:szCs w:val="24"/>
          <w:lang w:eastAsia="en-GB"/>
          <w14:ligatures w14:val="none"/>
        </w:rPr>
      </w:pPr>
      <w:r w:rsidRPr="00B33CFA">
        <w:rPr>
          <w:rFonts w:ascii="Arial" w:eastAsia="Times New Roman" w:hAnsi="Arial" w:cs="Arial"/>
          <w:kern w:val="0"/>
          <w:sz w:val="24"/>
          <w:szCs w:val="24"/>
          <w:lang w:eastAsia="en-GB"/>
          <w14:ligatures w14:val="none"/>
        </w:rPr>
        <w:t>The gender pay gap, is a persistent issue in many workplaces</w:t>
      </w:r>
      <w:r w:rsidR="00241F49" w:rsidRPr="00B33CFA">
        <w:rPr>
          <w:rFonts w:ascii="Arial" w:eastAsia="Times New Roman" w:hAnsi="Arial" w:cs="Arial"/>
          <w:kern w:val="0"/>
          <w:sz w:val="24"/>
          <w:szCs w:val="24"/>
          <w:lang w:eastAsia="en-GB"/>
          <w14:ligatures w14:val="none"/>
        </w:rPr>
        <w:t xml:space="preserve"> and here at </w:t>
      </w:r>
      <w:r w:rsidR="00B33CFA" w:rsidRPr="00B33CFA">
        <w:rPr>
          <w:rFonts w:ascii="Arial" w:eastAsia="Times New Roman" w:hAnsi="Arial" w:cs="Arial"/>
          <w:kern w:val="0"/>
          <w:sz w:val="24"/>
          <w:szCs w:val="24"/>
          <w:lang w:eastAsia="en-GB"/>
          <w14:ligatures w14:val="none"/>
        </w:rPr>
        <w:t>T</w:t>
      </w:r>
      <w:r w:rsidR="00241F49" w:rsidRPr="00B33CFA">
        <w:rPr>
          <w:rFonts w:ascii="Arial" w:eastAsia="Times New Roman" w:hAnsi="Arial" w:cs="Arial"/>
          <w:kern w:val="0"/>
          <w:sz w:val="24"/>
          <w:szCs w:val="24"/>
          <w:lang w:eastAsia="en-GB"/>
          <w14:ligatures w14:val="none"/>
        </w:rPr>
        <w:t xml:space="preserve">he Shrewsbury and Telford NHS </w:t>
      </w:r>
      <w:r w:rsidR="00B33CFA" w:rsidRPr="00B33CFA">
        <w:rPr>
          <w:rFonts w:ascii="Arial" w:eastAsia="Times New Roman" w:hAnsi="Arial" w:cs="Arial"/>
          <w:kern w:val="0"/>
          <w:sz w:val="24"/>
          <w:szCs w:val="24"/>
          <w:lang w:eastAsia="en-GB"/>
          <w14:ligatures w14:val="none"/>
        </w:rPr>
        <w:t xml:space="preserve">Hospital </w:t>
      </w:r>
      <w:r w:rsidR="00241F49" w:rsidRPr="00B33CFA">
        <w:rPr>
          <w:rFonts w:ascii="Arial" w:eastAsia="Times New Roman" w:hAnsi="Arial" w:cs="Arial"/>
          <w:kern w:val="0"/>
          <w:sz w:val="24"/>
          <w:szCs w:val="24"/>
          <w:lang w:eastAsia="en-GB"/>
          <w14:ligatures w14:val="none"/>
        </w:rPr>
        <w:t>Trust, we are committed to closing that gap</w:t>
      </w:r>
      <w:r w:rsidRPr="00B33CFA">
        <w:rPr>
          <w:rFonts w:ascii="Arial" w:eastAsia="Times New Roman" w:hAnsi="Arial" w:cs="Arial"/>
          <w:kern w:val="0"/>
          <w:sz w:val="24"/>
          <w:szCs w:val="24"/>
          <w:lang w:eastAsia="en-GB"/>
          <w14:ligatures w14:val="none"/>
        </w:rPr>
        <w:t>.</w:t>
      </w:r>
      <w:r w:rsidR="00F57AB0" w:rsidRPr="00B33CFA">
        <w:rPr>
          <w:rFonts w:ascii="Arial" w:eastAsia="Times New Roman" w:hAnsi="Arial" w:cs="Arial"/>
          <w:kern w:val="0"/>
          <w:sz w:val="24"/>
          <w:szCs w:val="24"/>
          <w:lang w:eastAsia="en-GB"/>
          <w14:ligatures w14:val="none"/>
        </w:rPr>
        <w:t xml:space="preserve"> We are proud to advance our initiatives in leadership development, promoting and shaping training and development opportunities, apprenticeship programs by collaborating with our staff networks, EDI steering groups, and ICS to ensure an equitable and inclusive workplace.</w:t>
      </w:r>
    </w:p>
    <w:p w14:paraId="5D83702B" w14:textId="73FB35FE" w:rsidR="00F57AB0" w:rsidRPr="00B33CFA" w:rsidRDefault="00F57AB0" w:rsidP="000D4755">
      <w:pPr>
        <w:spacing w:before="100" w:beforeAutospacing="1" w:after="100" w:afterAutospacing="1" w:line="240" w:lineRule="auto"/>
        <w:rPr>
          <w:rFonts w:ascii="Arial" w:eastAsia="Times New Roman" w:hAnsi="Arial" w:cs="Arial"/>
          <w:kern w:val="0"/>
          <w:sz w:val="24"/>
          <w:szCs w:val="24"/>
          <w:lang w:eastAsia="en-GB"/>
          <w14:ligatures w14:val="none"/>
        </w:rPr>
      </w:pPr>
      <w:r w:rsidRPr="00B33CFA">
        <w:rPr>
          <w:rFonts w:ascii="Arial" w:eastAsia="Times New Roman" w:hAnsi="Arial" w:cs="Arial"/>
          <w:kern w:val="0"/>
          <w:sz w:val="24"/>
          <w:szCs w:val="24"/>
          <w:lang w:eastAsia="en-GB"/>
          <w14:ligatures w14:val="none"/>
        </w:rPr>
        <w:t xml:space="preserve">Our strategy for tackling our pay gap connects within pillar </w:t>
      </w:r>
      <w:r w:rsidR="00B60302" w:rsidRPr="00B33CFA">
        <w:rPr>
          <w:rFonts w:ascii="Arial" w:eastAsia="Times New Roman" w:hAnsi="Arial" w:cs="Arial"/>
          <w:kern w:val="0"/>
          <w:sz w:val="24"/>
          <w:szCs w:val="24"/>
          <w:lang w:eastAsia="en-GB"/>
          <w14:ligatures w14:val="none"/>
        </w:rPr>
        <w:t>two</w:t>
      </w:r>
      <w:r w:rsidRPr="00B33CFA">
        <w:rPr>
          <w:rFonts w:ascii="Arial" w:eastAsia="Times New Roman" w:hAnsi="Arial" w:cs="Arial"/>
          <w:kern w:val="0"/>
          <w:sz w:val="24"/>
          <w:szCs w:val="24"/>
          <w:lang w:eastAsia="en-GB"/>
          <w14:ligatures w14:val="none"/>
        </w:rPr>
        <w:t xml:space="preserve"> of our People Strategy “Belonging in the NHS”. Progress </w:t>
      </w:r>
      <w:r w:rsidR="00C73A8B" w:rsidRPr="00B33CFA">
        <w:rPr>
          <w:rFonts w:ascii="Arial" w:eastAsia="Times New Roman" w:hAnsi="Arial" w:cs="Arial"/>
          <w:kern w:val="0"/>
          <w:sz w:val="24"/>
          <w:szCs w:val="24"/>
          <w:lang w:eastAsia="en-GB"/>
          <w14:ligatures w14:val="none"/>
        </w:rPr>
        <w:t>will be</w:t>
      </w:r>
      <w:r w:rsidRPr="00B33CFA">
        <w:rPr>
          <w:rFonts w:ascii="Arial" w:eastAsia="Times New Roman" w:hAnsi="Arial" w:cs="Arial"/>
          <w:kern w:val="0"/>
          <w:sz w:val="24"/>
          <w:szCs w:val="24"/>
          <w:lang w:eastAsia="en-GB"/>
          <w14:ligatures w14:val="none"/>
        </w:rPr>
        <w:t xml:space="preserve"> governed and monitored under </w:t>
      </w:r>
      <w:r w:rsidR="00BA5EEB" w:rsidRPr="00B33CFA">
        <w:rPr>
          <w:rFonts w:ascii="Arial" w:eastAsia="Times New Roman" w:hAnsi="Arial" w:cs="Arial"/>
          <w:kern w:val="0"/>
          <w:sz w:val="24"/>
          <w:szCs w:val="24"/>
          <w:lang w:eastAsia="en-GB"/>
          <w14:ligatures w14:val="none"/>
        </w:rPr>
        <w:t>H</w:t>
      </w:r>
      <w:r w:rsidRPr="00B33CFA">
        <w:rPr>
          <w:rFonts w:ascii="Arial" w:eastAsia="Times New Roman" w:hAnsi="Arial" w:cs="Arial"/>
          <w:kern w:val="0"/>
          <w:sz w:val="24"/>
          <w:szCs w:val="24"/>
          <w:lang w:eastAsia="en-GB"/>
          <w14:ligatures w14:val="none"/>
        </w:rPr>
        <w:t xml:space="preserve">igh </w:t>
      </w:r>
      <w:r w:rsidR="00BA5EEB" w:rsidRPr="00B33CFA">
        <w:rPr>
          <w:rFonts w:ascii="Arial" w:eastAsia="Times New Roman" w:hAnsi="Arial" w:cs="Arial"/>
          <w:kern w:val="0"/>
          <w:sz w:val="24"/>
          <w:szCs w:val="24"/>
          <w:lang w:eastAsia="en-GB"/>
          <w14:ligatures w14:val="none"/>
        </w:rPr>
        <w:t>I</w:t>
      </w:r>
      <w:r w:rsidRPr="00B33CFA">
        <w:rPr>
          <w:rFonts w:ascii="Arial" w:eastAsia="Times New Roman" w:hAnsi="Arial" w:cs="Arial"/>
          <w:kern w:val="0"/>
          <w:sz w:val="24"/>
          <w:szCs w:val="24"/>
          <w:lang w:eastAsia="en-GB"/>
          <w14:ligatures w14:val="none"/>
        </w:rPr>
        <w:t>mpact Action 3</w:t>
      </w:r>
      <w:r w:rsidR="00D42DF5" w:rsidRPr="00B33CFA">
        <w:rPr>
          <w:rFonts w:ascii="Arial" w:eastAsia="Times New Roman" w:hAnsi="Arial" w:cs="Arial"/>
          <w:kern w:val="0"/>
          <w:sz w:val="24"/>
          <w:szCs w:val="24"/>
          <w:lang w:eastAsia="en-GB"/>
          <w14:ligatures w14:val="none"/>
        </w:rPr>
        <w:t xml:space="preserve"> (Eliminate total pay gaps with respect to race, </w:t>
      </w:r>
      <w:r w:rsidR="00B60302" w:rsidRPr="00B33CFA">
        <w:rPr>
          <w:rFonts w:ascii="Arial" w:eastAsia="Times New Roman" w:hAnsi="Arial" w:cs="Arial"/>
          <w:kern w:val="0"/>
          <w:sz w:val="24"/>
          <w:szCs w:val="24"/>
          <w:lang w:eastAsia="en-GB"/>
          <w14:ligatures w14:val="none"/>
        </w:rPr>
        <w:t>disability,</w:t>
      </w:r>
      <w:r w:rsidR="00D42DF5" w:rsidRPr="00B33CFA">
        <w:rPr>
          <w:rFonts w:ascii="Arial" w:eastAsia="Times New Roman" w:hAnsi="Arial" w:cs="Arial"/>
          <w:kern w:val="0"/>
          <w:sz w:val="24"/>
          <w:szCs w:val="24"/>
          <w:lang w:eastAsia="en-GB"/>
          <w14:ligatures w14:val="none"/>
        </w:rPr>
        <w:t xml:space="preserve"> and gender) </w:t>
      </w:r>
      <w:r w:rsidRPr="00B33CFA">
        <w:rPr>
          <w:rFonts w:ascii="Arial" w:eastAsia="Times New Roman" w:hAnsi="Arial" w:cs="Arial"/>
          <w:kern w:val="0"/>
          <w:sz w:val="24"/>
          <w:szCs w:val="24"/>
          <w:lang w:eastAsia="en-GB"/>
          <w14:ligatures w14:val="none"/>
        </w:rPr>
        <w:t xml:space="preserve">of the NHS six high impact actions improvement tool for Equality Diversity and </w:t>
      </w:r>
      <w:r w:rsidR="00D42DF5" w:rsidRPr="00B33CFA">
        <w:rPr>
          <w:rFonts w:ascii="Arial" w:eastAsia="Times New Roman" w:hAnsi="Arial" w:cs="Arial"/>
          <w:kern w:val="0"/>
          <w:sz w:val="24"/>
          <w:szCs w:val="24"/>
          <w:lang w:eastAsia="en-GB"/>
          <w14:ligatures w14:val="none"/>
        </w:rPr>
        <w:t>I</w:t>
      </w:r>
      <w:r w:rsidRPr="00B33CFA">
        <w:rPr>
          <w:rFonts w:ascii="Arial" w:eastAsia="Times New Roman" w:hAnsi="Arial" w:cs="Arial"/>
          <w:kern w:val="0"/>
          <w:sz w:val="24"/>
          <w:szCs w:val="24"/>
          <w:lang w:eastAsia="en-GB"/>
          <w14:ligatures w14:val="none"/>
        </w:rPr>
        <w:t xml:space="preserve">nclusion. </w:t>
      </w:r>
    </w:p>
    <w:p w14:paraId="3FE8F5C7" w14:textId="311A6EE7" w:rsidR="00F57AB0" w:rsidRPr="00B33CFA" w:rsidRDefault="00986E4B" w:rsidP="00F57AB0">
      <w:pPr>
        <w:spacing w:before="100" w:beforeAutospacing="1" w:after="100" w:afterAutospacing="1" w:line="240" w:lineRule="auto"/>
        <w:rPr>
          <w:rFonts w:ascii="Arial" w:eastAsia="Times New Roman" w:hAnsi="Arial" w:cs="Arial"/>
          <w:b/>
          <w:bCs/>
          <w:kern w:val="0"/>
          <w:sz w:val="24"/>
          <w:szCs w:val="24"/>
          <w:u w:val="single"/>
          <w:lang w:eastAsia="en-GB"/>
          <w14:ligatures w14:val="none"/>
        </w:rPr>
      </w:pPr>
      <w:r w:rsidRPr="00B33CFA">
        <w:rPr>
          <w:rFonts w:ascii="Arial" w:eastAsia="Times New Roman" w:hAnsi="Arial" w:cs="Arial"/>
          <w:b/>
          <w:bCs/>
          <w:kern w:val="0"/>
          <w:sz w:val="24"/>
          <w:szCs w:val="24"/>
          <w:u w:val="single"/>
          <w:lang w:eastAsia="en-GB"/>
          <w14:ligatures w14:val="none"/>
        </w:rPr>
        <w:t>D</w:t>
      </w:r>
      <w:r w:rsidR="00C73A8B" w:rsidRPr="00B33CFA">
        <w:rPr>
          <w:rFonts w:ascii="Arial" w:eastAsia="Times New Roman" w:hAnsi="Arial" w:cs="Arial"/>
          <w:b/>
          <w:bCs/>
          <w:kern w:val="0"/>
          <w:sz w:val="24"/>
          <w:szCs w:val="24"/>
          <w:u w:val="single"/>
          <w:lang w:eastAsia="en-GB"/>
          <w14:ligatures w14:val="none"/>
        </w:rPr>
        <w:t>eveloping our people</w:t>
      </w:r>
    </w:p>
    <w:p w14:paraId="7D35F2BE" w14:textId="2761B9AA" w:rsidR="00CC42F1" w:rsidRDefault="00CC42F1" w:rsidP="00F57AB0">
      <w:pPr>
        <w:spacing w:before="100" w:beforeAutospacing="1" w:after="100" w:afterAutospacing="1" w:line="240" w:lineRule="auto"/>
        <w:rPr>
          <w:rFonts w:ascii="Arial" w:eastAsia="Times New Roman" w:hAnsi="Arial" w:cs="Arial"/>
          <w:kern w:val="0"/>
          <w:sz w:val="24"/>
          <w:szCs w:val="24"/>
          <w:lang w:eastAsia="en-GB"/>
          <w14:ligatures w14:val="none"/>
        </w:rPr>
      </w:pPr>
      <w:r w:rsidRPr="00B33CFA">
        <w:rPr>
          <w:rFonts w:ascii="Arial" w:eastAsia="Times New Roman" w:hAnsi="Arial" w:cs="Arial"/>
          <w:kern w:val="0"/>
          <w:sz w:val="24"/>
          <w:szCs w:val="24"/>
          <w:lang w:eastAsia="en-GB"/>
          <w14:ligatures w14:val="none"/>
        </w:rPr>
        <w:t>Providing a comprehensive suite of leadership development opportunities (Figure 1), accessible to all colleagues, is fundamental in addressing any pay gap. At SaTH, we believe we have achieved this through our various offerings. Our non-medical leadership development programs have seen 242 participants since their inception, of whom 201 were female (83%). Additionally, our Medical Leadership Development Training, introduced in 2022, has been offered to all medical leaders in post, with 76 completing the training, including 29 females (38%). This proportion aligns with the number of female senior medical staff within the organi</w:t>
      </w:r>
      <w:r w:rsidR="00BA5EEB" w:rsidRPr="00B33CFA">
        <w:rPr>
          <w:rFonts w:ascii="Arial" w:eastAsia="Times New Roman" w:hAnsi="Arial" w:cs="Arial"/>
          <w:kern w:val="0"/>
          <w:sz w:val="24"/>
          <w:szCs w:val="24"/>
          <w:lang w:eastAsia="en-GB"/>
          <w14:ligatures w14:val="none"/>
        </w:rPr>
        <w:t>s</w:t>
      </w:r>
      <w:r w:rsidRPr="00B33CFA">
        <w:rPr>
          <w:rFonts w:ascii="Arial" w:eastAsia="Times New Roman" w:hAnsi="Arial" w:cs="Arial"/>
          <w:kern w:val="0"/>
          <w:sz w:val="24"/>
          <w:szCs w:val="24"/>
          <w:lang w:eastAsia="en-GB"/>
          <w14:ligatures w14:val="none"/>
        </w:rPr>
        <w:t xml:space="preserve">ation. To further support our colleagues' development, we offer a dedicated </w:t>
      </w:r>
      <w:r w:rsidR="00BA5EEB" w:rsidRPr="00B33CFA">
        <w:rPr>
          <w:rFonts w:ascii="Arial" w:eastAsia="Times New Roman" w:hAnsi="Arial" w:cs="Arial"/>
          <w:kern w:val="0"/>
          <w:sz w:val="24"/>
          <w:szCs w:val="24"/>
          <w:lang w:eastAsia="en-GB"/>
          <w14:ligatures w14:val="none"/>
        </w:rPr>
        <w:t>c</w:t>
      </w:r>
      <w:r w:rsidRPr="00B33CFA">
        <w:rPr>
          <w:rFonts w:ascii="Arial" w:eastAsia="Times New Roman" w:hAnsi="Arial" w:cs="Arial"/>
          <w:kern w:val="0"/>
          <w:sz w:val="24"/>
          <w:szCs w:val="24"/>
          <w:lang w:eastAsia="en-GB"/>
          <w14:ligatures w14:val="none"/>
        </w:rPr>
        <w:t>areer portal, coaching and mentoring services, and apprenticeship schemes. Since 2018, 154 females and 20 males have accessed formal coaching and mentoring. In 2023, of the 26 colleagues who joined our apprenticeship schemes, 22 were female (85%).</w:t>
      </w:r>
    </w:p>
    <w:p w14:paraId="3711E902" w14:textId="77777777" w:rsidR="00B33CFA" w:rsidRDefault="00B33CFA" w:rsidP="00F57AB0">
      <w:pPr>
        <w:spacing w:before="100" w:beforeAutospacing="1" w:after="100" w:afterAutospacing="1" w:line="240" w:lineRule="auto"/>
        <w:rPr>
          <w:rFonts w:ascii="Arial" w:eastAsia="Times New Roman" w:hAnsi="Arial" w:cs="Arial"/>
          <w:kern w:val="0"/>
          <w:sz w:val="24"/>
          <w:szCs w:val="24"/>
          <w:lang w:eastAsia="en-GB"/>
          <w14:ligatures w14:val="none"/>
        </w:rPr>
      </w:pPr>
    </w:p>
    <w:p w14:paraId="2EE4384C" w14:textId="77777777" w:rsidR="00B33CFA" w:rsidRPr="00B33CFA" w:rsidRDefault="00B33CFA" w:rsidP="00F57AB0">
      <w:pPr>
        <w:spacing w:before="100" w:beforeAutospacing="1" w:after="100" w:afterAutospacing="1" w:line="240" w:lineRule="auto"/>
        <w:rPr>
          <w:rFonts w:ascii="Arial" w:eastAsia="Times New Roman" w:hAnsi="Arial" w:cs="Arial"/>
          <w:kern w:val="0"/>
          <w:sz w:val="24"/>
          <w:szCs w:val="24"/>
          <w:lang w:eastAsia="en-GB"/>
          <w14:ligatures w14:val="none"/>
        </w:rPr>
      </w:pPr>
    </w:p>
    <w:p w14:paraId="3F331758" w14:textId="2C61A4E3" w:rsidR="00CC42F1" w:rsidRPr="00B33CFA" w:rsidRDefault="00CC42F1" w:rsidP="00F57AB0">
      <w:pPr>
        <w:spacing w:before="100" w:beforeAutospacing="1" w:after="100" w:afterAutospacing="1" w:line="240" w:lineRule="auto"/>
        <w:rPr>
          <w:rFonts w:ascii="Arial" w:hAnsi="Arial" w:cs="Arial"/>
          <w:b/>
          <w:bCs/>
          <w:noProof/>
          <w:sz w:val="24"/>
          <w:szCs w:val="24"/>
          <w:u w:val="single"/>
        </w:rPr>
      </w:pPr>
      <w:r w:rsidRPr="00B33CFA">
        <w:rPr>
          <w:rFonts w:ascii="Arial" w:hAnsi="Arial" w:cs="Arial"/>
          <w:b/>
          <w:bCs/>
          <w:noProof/>
          <w:sz w:val="24"/>
          <w:szCs w:val="24"/>
          <w:u w:val="single"/>
        </w:rPr>
        <w:t>Fair and inclusive recruitment</w:t>
      </w:r>
      <w:r w:rsidR="00580B15" w:rsidRPr="00B33CFA">
        <w:rPr>
          <w:rFonts w:ascii="Arial" w:hAnsi="Arial" w:cs="Arial"/>
          <w:b/>
          <w:bCs/>
          <w:noProof/>
          <w:sz w:val="24"/>
          <w:szCs w:val="24"/>
          <w:u w:val="single"/>
        </w:rPr>
        <w:t xml:space="preserve"> practices</w:t>
      </w:r>
      <w:r w:rsidRPr="00B33CFA">
        <w:rPr>
          <w:rFonts w:ascii="Arial" w:hAnsi="Arial" w:cs="Arial"/>
          <w:b/>
          <w:bCs/>
          <w:noProof/>
          <w:sz w:val="24"/>
          <w:szCs w:val="24"/>
          <w:u w:val="single"/>
        </w:rPr>
        <w:t xml:space="preserve"> and transparent </w:t>
      </w:r>
      <w:r w:rsidR="00580B15" w:rsidRPr="00B33CFA">
        <w:rPr>
          <w:rFonts w:ascii="Arial" w:hAnsi="Arial" w:cs="Arial"/>
          <w:b/>
          <w:bCs/>
          <w:noProof/>
          <w:sz w:val="24"/>
          <w:szCs w:val="24"/>
          <w:u w:val="single"/>
        </w:rPr>
        <w:t>p</w:t>
      </w:r>
      <w:r w:rsidRPr="00B33CFA">
        <w:rPr>
          <w:rFonts w:ascii="Arial" w:hAnsi="Arial" w:cs="Arial"/>
          <w:b/>
          <w:bCs/>
          <w:noProof/>
          <w:sz w:val="24"/>
          <w:szCs w:val="24"/>
          <w:u w:val="single"/>
        </w:rPr>
        <w:t>ay policies</w:t>
      </w:r>
    </w:p>
    <w:p w14:paraId="74DEE81D" w14:textId="3D8C4B77" w:rsidR="00FA7D5C" w:rsidRPr="00B33CFA" w:rsidRDefault="00FA7D5C" w:rsidP="00F57AB0">
      <w:pPr>
        <w:spacing w:before="100" w:beforeAutospacing="1" w:after="100" w:afterAutospacing="1" w:line="240" w:lineRule="auto"/>
        <w:rPr>
          <w:rFonts w:ascii="Arial" w:hAnsi="Arial" w:cs="Arial"/>
          <w:noProof/>
          <w:sz w:val="24"/>
          <w:szCs w:val="24"/>
        </w:rPr>
      </w:pPr>
      <w:r w:rsidRPr="00B33CFA">
        <w:rPr>
          <w:rFonts w:ascii="Arial" w:hAnsi="Arial" w:cs="Arial"/>
          <w:noProof/>
          <w:sz w:val="24"/>
          <w:szCs w:val="24"/>
        </w:rPr>
        <w:t>We are committed to fostering an inclusive workplace and promoting equitable opportunities for all employees. To achieve this, we continue to deliver "Safer recruitment" training to address unconscious bias and implement inclusive recruitment practices. We are also actively working towards becoming a Disability Confident Leader by making adjustments to our processes and practices, providing additional software such as CaptionED, Dragon Naturally Speaking, Global AutoCorrect, and TextHelp Read and Write, and supporting managers and staff through initiatives like the staff health passport and the sunflower scheme. We are currently developing a streamlined workplace adjustment process with clear guidance for managers. By collaborating with partners like the DfN</w:t>
      </w:r>
      <w:r w:rsidR="00575DEA" w:rsidRPr="00B33CFA">
        <w:rPr>
          <w:rFonts w:ascii="Arial" w:hAnsi="Arial" w:cs="Arial"/>
          <w:noProof/>
          <w:sz w:val="24"/>
          <w:szCs w:val="24"/>
        </w:rPr>
        <w:t xml:space="preserve"> (David Forbes-Nixon)*</w:t>
      </w:r>
      <w:r w:rsidRPr="00B33CFA">
        <w:rPr>
          <w:rFonts w:ascii="Arial" w:hAnsi="Arial" w:cs="Arial"/>
          <w:noProof/>
          <w:sz w:val="24"/>
          <w:szCs w:val="24"/>
        </w:rPr>
        <w:t xml:space="preserve"> project, we offer supported internships and other valuable opportunities to support and train employees and managers. Furthermore, our implementation of the nationally agreed job evaluation scheme minimi</w:t>
      </w:r>
      <w:r w:rsidR="00BA5EEB" w:rsidRPr="00B33CFA">
        <w:rPr>
          <w:rFonts w:ascii="Arial" w:hAnsi="Arial" w:cs="Arial"/>
          <w:noProof/>
          <w:sz w:val="24"/>
          <w:szCs w:val="24"/>
        </w:rPr>
        <w:t>s</w:t>
      </w:r>
      <w:r w:rsidRPr="00B33CFA">
        <w:rPr>
          <w:rFonts w:ascii="Arial" w:hAnsi="Arial" w:cs="Arial"/>
          <w:noProof/>
          <w:sz w:val="24"/>
          <w:szCs w:val="24"/>
        </w:rPr>
        <w:t>es the risk of bias and supports equal pay for work of equal value.</w:t>
      </w:r>
    </w:p>
    <w:p w14:paraId="1D9BB03C" w14:textId="4E5A9D95" w:rsidR="00CC42F1" w:rsidRPr="00B33CFA" w:rsidRDefault="00575DEA" w:rsidP="00F57AB0">
      <w:pPr>
        <w:spacing w:before="100" w:beforeAutospacing="1" w:after="100" w:afterAutospacing="1" w:line="240" w:lineRule="auto"/>
        <w:rPr>
          <w:noProof/>
          <w:sz w:val="24"/>
          <w:szCs w:val="24"/>
        </w:rPr>
      </w:pPr>
      <w:r w:rsidRPr="00B33CFA">
        <w:rPr>
          <w:noProof/>
          <w:sz w:val="24"/>
          <w:szCs w:val="24"/>
        </w:rPr>
        <w:t>*</w:t>
      </w:r>
      <w:r w:rsidRPr="00B33CFA">
        <w:rPr>
          <w:rFonts w:ascii="Arial" w:hAnsi="Arial" w:cs="Arial"/>
          <w:color w:val="111827"/>
          <w:sz w:val="24"/>
          <w:szCs w:val="24"/>
          <w:shd w:val="clear" w:color="auto" w:fill="FFFFFF"/>
        </w:rPr>
        <w:t>DFN Project SEARCH is a one-year transition to work programme for young adults with a learning disability or autism spectrum conditions, or both.</w:t>
      </w:r>
    </w:p>
    <w:p w14:paraId="4FAABAE8" w14:textId="77777777" w:rsidR="00CC42F1" w:rsidRDefault="00CC42F1" w:rsidP="00F57AB0">
      <w:pPr>
        <w:spacing w:before="100" w:beforeAutospacing="1" w:after="100" w:afterAutospacing="1" w:line="240" w:lineRule="auto"/>
        <w:rPr>
          <w:noProof/>
        </w:rPr>
      </w:pPr>
    </w:p>
    <w:p w14:paraId="6CF6127F" w14:textId="77777777" w:rsidR="00CC42F1" w:rsidRDefault="00CC42F1" w:rsidP="00F57AB0">
      <w:pPr>
        <w:spacing w:before="100" w:beforeAutospacing="1" w:after="100" w:afterAutospacing="1" w:line="240" w:lineRule="auto"/>
        <w:rPr>
          <w:rFonts w:ascii="Arial" w:eastAsia="Times New Roman" w:hAnsi="Arial" w:cs="Arial"/>
          <w:kern w:val="0"/>
          <w:lang w:eastAsia="en-GB"/>
          <w14:ligatures w14:val="none"/>
        </w:rPr>
      </w:pPr>
    </w:p>
    <w:p w14:paraId="78DF7960" w14:textId="047E2F2F" w:rsidR="00986E4B" w:rsidRPr="00B06AB6" w:rsidRDefault="00A632C7" w:rsidP="00B06AB6">
      <w:pPr>
        <w:spacing w:before="100" w:beforeAutospacing="1" w:after="100" w:afterAutospacing="1" w:line="240" w:lineRule="auto"/>
        <w:rPr>
          <w:rFonts w:ascii="Arial" w:eastAsia="Times New Roman" w:hAnsi="Arial" w:cs="Arial"/>
          <w:kern w:val="0"/>
          <w:lang w:eastAsia="en-GB"/>
          <w14:ligatures w14:val="none"/>
        </w:rPr>
      </w:pPr>
      <w:r w:rsidRPr="00A632C7">
        <w:rPr>
          <w:rFonts w:ascii="Arial" w:eastAsia="Times New Roman" w:hAnsi="Arial" w:cs="Arial"/>
          <w:b/>
          <w:bCs/>
          <w:kern w:val="0"/>
          <w:u w:val="single"/>
          <w:lang w:eastAsia="en-GB"/>
          <w14:ligatures w14:val="none"/>
        </w:rPr>
        <w:lastRenderedPageBreak/>
        <w:t>Figure 1</w:t>
      </w:r>
      <w:r w:rsidR="00986E4B">
        <w:rPr>
          <w:noProof/>
        </w:rPr>
        <w:drawing>
          <wp:inline distT="0" distB="0" distL="0" distR="0" wp14:anchorId="4DC4FC40" wp14:editId="5A637E58">
            <wp:extent cx="8420100" cy="4736081"/>
            <wp:effectExtent l="0" t="0" r="0" b="7620"/>
            <wp:docPr id="11720809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8091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8426063" cy="4739435"/>
                    </a:xfrm>
                    <a:prstGeom prst="rect">
                      <a:avLst/>
                    </a:prstGeom>
                  </pic:spPr>
                </pic:pic>
              </a:graphicData>
            </a:graphic>
          </wp:inline>
        </w:drawing>
      </w:r>
    </w:p>
    <w:p w14:paraId="2324C954" w14:textId="77777777" w:rsidR="002813DB" w:rsidRDefault="002813DB" w:rsidP="00B06AB6">
      <w:pPr>
        <w:spacing w:before="100" w:beforeAutospacing="1" w:after="100" w:afterAutospacing="1" w:line="240" w:lineRule="auto"/>
        <w:rPr>
          <w:rFonts w:ascii="Arial" w:eastAsia="Times New Roman" w:hAnsi="Arial" w:cs="Arial"/>
          <w:b/>
          <w:bCs/>
          <w:kern w:val="0"/>
          <w:u w:val="single"/>
          <w:lang w:eastAsia="en-GB"/>
          <w14:ligatures w14:val="none"/>
        </w:rPr>
      </w:pPr>
      <w:bookmarkStart w:id="7" w:name="_Hlk180654692"/>
      <w:bookmarkEnd w:id="6"/>
    </w:p>
    <w:p w14:paraId="6D95DFE3" w14:textId="77777777" w:rsidR="002813DB" w:rsidRDefault="002813DB" w:rsidP="00B06AB6">
      <w:pPr>
        <w:spacing w:before="100" w:beforeAutospacing="1" w:after="100" w:afterAutospacing="1" w:line="240" w:lineRule="auto"/>
        <w:rPr>
          <w:rFonts w:ascii="Arial" w:eastAsia="Times New Roman" w:hAnsi="Arial" w:cs="Arial"/>
          <w:b/>
          <w:bCs/>
          <w:kern w:val="0"/>
          <w:u w:val="single"/>
          <w:lang w:eastAsia="en-GB"/>
          <w14:ligatures w14:val="none"/>
        </w:rPr>
      </w:pPr>
    </w:p>
    <w:p w14:paraId="0196409D" w14:textId="554C5CED" w:rsidR="000D4755" w:rsidRPr="000A7217" w:rsidRDefault="00B06AB6" w:rsidP="00B06AB6">
      <w:pPr>
        <w:spacing w:before="100" w:beforeAutospacing="1" w:after="100" w:afterAutospacing="1" w:line="240" w:lineRule="auto"/>
        <w:rPr>
          <w:rFonts w:ascii="Arial" w:eastAsia="Times New Roman" w:hAnsi="Arial" w:cs="Arial"/>
          <w:b/>
          <w:bCs/>
          <w:kern w:val="0"/>
          <w:sz w:val="24"/>
          <w:szCs w:val="24"/>
          <w:u w:val="single"/>
          <w:lang w:eastAsia="en-GB"/>
          <w14:ligatures w14:val="none"/>
        </w:rPr>
      </w:pPr>
      <w:r w:rsidRPr="000A7217">
        <w:rPr>
          <w:rFonts w:ascii="Arial" w:eastAsia="Times New Roman" w:hAnsi="Arial" w:cs="Arial"/>
          <w:b/>
          <w:bCs/>
          <w:kern w:val="0"/>
          <w:sz w:val="24"/>
          <w:szCs w:val="24"/>
          <w:u w:val="single"/>
          <w:lang w:eastAsia="en-GB"/>
          <w14:ligatures w14:val="none"/>
        </w:rPr>
        <w:lastRenderedPageBreak/>
        <w:t>Enabling a flexible working mindset</w:t>
      </w:r>
    </w:p>
    <w:p w14:paraId="24EDAB68" w14:textId="48123AB6" w:rsidR="00B06AB6" w:rsidRPr="000A7217" w:rsidRDefault="00B06AB6" w:rsidP="00B06AB6">
      <w:pPr>
        <w:pStyle w:val="NormalWeb"/>
        <w:rPr>
          <w:rFonts w:ascii="Arial" w:hAnsi="Arial" w:cs="Arial"/>
        </w:rPr>
      </w:pPr>
      <w:r w:rsidRPr="000A7217">
        <w:rPr>
          <w:rFonts w:ascii="Arial" w:hAnsi="Arial" w:cs="Arial"/>
        </w:rPr>
        <w:t>Encouraging and supporting colleagues to work more flexibly at all levels within our organisation can contribute to a reduction in the Gender Pay Gap. By providing more options that empower staff members to have a greater say in where, when, and how they work, we can create more job and career opportunities, attract high-quality candidates, and retain a diverse workforce. Flexible working also contributes to enhanced work-life balance and overall well-being, reducing stress and absenteeism.</w:t>
      </w:r>
    </w:p>
    <w:p w14:paraId="4CD57FA2" w14:textId="77777777" w:rsidR="00B06AB6" w:rsidRPr="000A7217" w:rsidRDefault="00B06AB6" w:rsidP="00B06AB6">
      <w:pPr>
        <w:pStyle w:val="NormalWeb"/>
        <w:rPr>
          <w:rFonts w:ascii="Arial" w:hAnsi="Arial" w:cs="Arial"/>
        </w:rPr>
      </w:pPr>
      <w:r w:rsidRPr="000A7217">
        <w:rPr>
          <w:rFonts w:ascii="Arial" w:hAnsi="Arial" w:cs="Arial"/>
        </w:rPr>
        <w:t>To support our staff and managers in embracing flexible working, our Flexible Working Group has introduced Flexible Working Masterclasses and Toolkit Briefings. These initiatives share the benefits of flexible working, provide success stories, and encourage creative thinking to identify practical options.</w:t>
      </w:r>
    </w:p>
    <w:p w14:paraId="358E554D" w14:textId="77777777" w:rsidR="00B06AB6" w:rsidRPr="000A7217" w:rsidRDefault="00B06AB6" w:rsidP="00B06AB6">
      <w:pPr>
        <w:pStyle w:val="NormalWeb"/>
      </w:pPr>
      <w:r w:rsidRPr="000A7217">
        <w:rPr>
          <w:rFonts w:ascii="Arial" w:hAnsi="Arial" w:cs="Arial"/>
        </w:rPr>
        <w:t>Our 2023 Staff Survey results demonstrate a strong correlation between increased flexibility and improved employee outcomes. Clinical areas that significantly increased their scores in the NHS People Promise element "We work flexibly" also experienced improvements in morale, engagement, reduced sickness levels, and turnove</w:t>
      </w:r>
      <w:r w:rsidRPr="000A7217">
        <w:t>r.</w:t>
      </w:r>
    </w:p>
    <w:p w14:paraId="1DF71684" w14:textId="014B883B" w:rsidR="00B06AB6" w:rsidRPr="000A7217" w:rsidRDefault="00B06AB6" w:rsidP="00B06AB6">
      <w:pPr>
        <w:spacing w:before="100" w:beforeAutospacing="1" w:after="100" w:afterAutospacing="1" w:line="240" w:lineRule="auto"/>
        <w:rPr>
          <w:rFonts w:ascii="Arial" w:eastAsia="Times New Roman" w:hAnsi="Arial" w:cs="Arial"/>
          <w:b/>
          <w:bCs/>
          <w:kern w:val="0"/>
          <w:sz w:val="24"/>
          <w:szCs w:val="24"/>
          <w:u w:val="single"/>
          <w:lang w:eastAsia="en-GB"/>
          <w14:ligatures w14:val="none"/>
        </w:rPr>
      </w:pPr>
      <w:r w:rsidRPr="000A7217">
        <w:rPr>
          <w:rFonts w:ascii="Arial" w:eastAsia="Times New Roman" w:hAnsi="Arial" w:cs="Arial"/>
          <w:b/>
          <w:bCs/>
          <w:kern w:val="0"/>
          <w:sz w:val="24"/>
          <w:szCs w:val="24"/>
          <w:u w:val="single"/>
          <w:lang w:eastAsia="en-GB"/>
          <w14:ligatures w14:val="none"/>
        </w:rPr>
        <w:t>Collaboration with external partners and our staff networks</w:t>
      </w:r>
    </w:p>
    <w:p w14:paraId="6B9413F9" w14:textId="5F1C758E" w:rsidR="000D4755" w:rsidRPr="000A7217" w:rsidRDefault="00774FD5" w:rsidP="00B06AB6">
      <w:pPr>
        <w:spacing w:before="100" w:beforeAutospacing="1" w:after="100" w:afterAutospacing="1" w:line="240" w:lineRule="auto"/>
        <w:rPr>
          <w:rFonts w:ascii="Arial" w:hAnsi="Arial" w:cs="Arial"/>
          <w:sz w:val="24"/>
          <w:szCs w:val="24"/>
        </w:rPr>
      </w:pPr>
      <w:bookmarkStart w:id="8" w:name="_Hlk182322811"/>
      <w:r w:rsidRPr="000A7217">
        <w:rPr>
          <w:rFonts w:ascii="Arial" w:hAnsi="Arial" w:cs="Arial"/>
          <w:sz w:val="24"/>
          <w:szCs w:val="24"/>
        </w:rPr>
        <w:t>Staff networks play a vital role in creating and promoting a positive working environment, identifying areas for improvement, and celebrating successes. They are essential for enhancing a culture of inclusivity, ensuring that individuals feel empowered to bring their authentic selves to work. Our organi</w:t>
      </w:r>
      <w:r w:rsidR="00BA5EEB" w:rsidRPr="000A7217">
        <w:rPr>
          <w:rFonts w:ascii="Arial" w:hAnsi="Arial" w:cs="Arial"/>
          <w:sz w:val="24"/>
          <w:szCs w:val="24"/>
        </w:rPr>
        <w:t>s</w:t>
      </w:r>
      <w:r w:rsidRPr="000A7217">
        <w:rPr>
          <w:rFonts w:ascii="Arial" w:hAnsi="Arial" w:cs="Arial"/>
          <w:sz w:val="24"/>
          <w:szCs w:val="24"/>
        </w:rPr>
        <w:t>ation is fortunate to have a range of vibrant staff networks that collaborate closely to influence decision-making and drive positive change. These networks include the Race Equality Network, PRIDE Network (LGBTQIA+), Disability and Long-Term Health Conditions Forum, DAWN (Disability, Ability, and Wellness Network), and our recently launched Multi-Faith and Belief Network. These networks provide valuable platforms for building a sense of community, fostering engagement, and taking action to address issues and promote inclusivity.</w:t>
      </w:r>
    </w:p>
    <w:p w14:paraId="11A1FABB" w14:textId="21C3F288" w:rsidR="00774FD5" w:rsidRPr="000A7217" w:rsidRDefault="00774FD5" w:rsidP="00B06AB6">
      <w:pPr>
        <w:spacing w:before="100" w:beforeAutospacing="1" w:after="100" w:afterAutospacing="1" w:line="240" w:lineRule="auto"/>
        <w:rPr>
          <w:rFonts w:ascii="Arial" w:eastAsia="Times New Roman" w:hAnsi="Arial" w:cs="Arial"/>
          <w:kern w:val="0"/>
          <w:sz w:val="24"/>
          <w:szCs w:val="24"/>
          <w:lang w:eastAsia="en-GB"/>
          <w14:ligatures w14:val="none"/>
        </w:rPr>
      </w:pPr>
      <w:r w:rsidRPr="000A7217">
        <w:rPr>
          <w:rFonts w:ascii="Arial" w:hAnsi="Arial" w:cs="Arial"/>
          <w:sz w:val="24"/>
          <w:szCs w:val="24"/>
        </w:rPr>
        <w:t xml:space="preserve">We also work across our own ICS and outside our region to share learning and benchmark our success in improving staff experience in our plight to improve staff experience and make Shrewsbury and great place to work and receive care. </w:t>
      </w:r>
    </w:p>
    <w:p w14:paraId="072D7C5B" w14:textId="7BE3E177" w:rsidR="002813DB" w:rsidRPr="000A7217" w:rsidRDefault="000D4755" w:rsidP="000D4755">
      <w:pPr>
        <w:spacing w:before="100" w:beforeAutospacing="1" w:after="100" w:afterAutospacing="1" w:line="240" w:lineRule="auto"/>
        <w:rPr>
          <w:rFonts w:ascii="Arial" w:eastAsia="Times New Roman" w:hAnsi="Arial" w:cs="Arial"/>
          <w:kern w:val="0"/>
          <w:sz w:val="24"/>
          <w:szCs w:val="24"/>
          <w:lang w:eastAsia="en-GB"/>
          <w14:ligatures w14:val="none"/>
        </w:rPr>
      </w:pPr>
      <w:bookmarkStart w:id="9" w:name="_Hlk180654701"/>
      <w:bookmarkEnd w:id="7"/>
      <w:bookmarkEnd w:id="8"/>
      <w:r w:rsidRPr="000A7217">
        <w:rPr>
          <w:rFonts w:ascii="Arial" w:eastAsia="Times New Roman" w:hAnsi="Arial" w:cs="Arial"/>
          <w:kern w:val="0"/>
          <w:sz w:val="24"/>
          <w:szCs w:val="24"/>
          <w:lang w:eastAsia="en-GB"/>
          <w14:ligatures w14:val="none"/>
        </w:rPr>
        <w:t xml:space="preserve">By implementing these strategies, </w:t>
      </w:r>
      <w:r w:rsidR="00B33CFA" w:rsidRPr="000A7217">
        <w:rPr>
          <w:rFonts w:ascii="Arial" w:eastAsia="Times New Roman" w:hAnsi="Arial" w:cs="Arial"/>
          <w:kern w:val="0"/>
          <w:sz w:val="24"/>
          <w:szCs w:val="24"/>
          <w:lang w:eastAsia="en-GB"/>
          <w14:ligatures w14:val="none"/>
        </w:rPr>
        <w:t xml:space="preserve">The </w:t>
      </w:r>
      <w:r w:rsidRPr="000A7217">
        <w:rPr>
          <w:rFonts w:ascii="Arial" w:eastAsia="Times New Roman" w:hAnsi="Arial" w:cs="Arial"/>
          <w:kern w:val="0"/>
          <w:sz w:val="24"/>
          <w:szCs w:val="24"/>
          <w:lang w:eastAsia="en-GB"/>
          <w14:ligatures w14:val="none"/>
        </w:rPr>
        <w:t xml:space="preserve">Shrewsbury and Telford </w:t>
      </w:r>
      <w:r w:rsidR="00B33CFA" w:rsidRPr="000A7217">
        <w:rPr>
          <w:rFonts w:ascii="Arial" w:eastAsia="Times New Roman" w:hAnsi="Arial" w:cs="Arial"/>
          <w:kern w:val="0"/>
          <w:sz w:val="24"/>
          <w:szCs w:val="24"/>
          <w:lang w:eastAsia="en-GB"/>
          <w14:ligatures w14:val="none"/>
        </w:rPr>
        <w:t xml:space="preserve">Hospital </w:t>
      </w:r>
      <w:r w:rsidRPr="000A7217">
        <w:rPr>
          <w:rFonts w:ascii="Arial" w:eastAsia="Times New Roman" w:hAnsi="Arial" w:cs="Arial"/>
          <w:kern w:val="0"/>
          <w:sz w:val="24"/>
          <w:szCs w:val="24"/>
          <w:lang w:eastAsia="en-GB"/>
          <w14:ligatures w14:val="none"/>
        </w:rPr>
        <w:t>NHS Trust can take significant steps to reduce the gender pay gap, create a more equitable workplace, and promote gender equality within the organi</w:t>
      </w:r>
      <w:r w:rsidR="00241F49" w:rsidRPr="000A7217">
        <w:rPr>
          <w:rFonts w:ascii="Arial" w:eastAsia="Times New Roman" w:hAnsi="Arial" w:cs="Arial"/>
          <w:kern w:val="0"/>
          <w:sz w:val="24"/>
          <w:szCs w:val="24"/>
          <w:lang w:eastAsia="en-GB"/>
          <w14:ligatures w14:val="none"/>
        </w:rPr>
        <w:t>s</w:t>
      </w:r>
      <w:r w:rsidRPr="000A7217">
        <w:rPr>
          <w:rFonts w:ascii="Arial" w:eastAsia="Times New Roman" w:hAnsi="Arial" w:cs="Arial"/>
          <w:kern w:val="0"/>
          <w:sz w:val="24"/>
          <w:szCs w:val="24"/>
          <w:lang w:eastAsia="en-GB"/>
          <w14:ligatures w14:val="none"/>
        </w:rPr>
        <w:t>ation.</w:t>
      </w:r>
    </w:p>
    <w:bookmarkEnd w:id="9"/>
    <w:p w14:paraId="1002FB76" w14:textId="77777777" w:rsidR="00D225D1" w:rsidRPr="000A7217" w:rsidRDefault="00D225D1">
      <w:pPr>
        <w:rPr>
          <w:sz w:val="24"/>
          <w:szCs w:val="24"/>
        </w:rPr>
      </w:pPr>
    </w:p>
    <w:sectPr w:rsidR="00D225D1" w:rsidRPr="000A7217" w:rsidSect="001B5100">
      <w:headerReference w:type="even" r:id="rId26"/>
      <w:headerReference w:type="default" r:id="rId27"/>
      <w:footerReference w:type="even" r:id="rId28"/>
      <w:footerReference w:type="default" r:id="rId29"/>
      <w:headerReference w:type="first" r:id="rId30"/>
      <w:footerReference w:type="first" r:id="rId3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1ECD5" w14:textId="77777777" w:rsidR="00315619" w:rsidRDefault="00315619" w:rsidP="00B12CA9">
      <w:pPr>
        <w:spacing w:after="0" w:line="240" w:lineRule="auto"/>
      </w:pPr>
      <w:r>
        <w:separator/>
      </w:r>
    </w:p>
  </w:endnote>
  <w:endnote w:type="continuationSeparator" w:id="0">
    <w:p w14:paraId="28964604" w14:textId="77777777" w:rsidR="00315619" w:rsidRDefault="00315619" w:rsidP="00B12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EAA70" w14:textId="77777777" w:rsidR="00B745C4" w:rsidRDefault="00B745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98C55" w14:textId="490C0CD0" w:rsidR="00B12CA9" w:rsidRPr="00B12CA9" w:rsidRDefault="00B12CA9" w:rsidP="00B12CA9">
    <w:pPr>
      <w:pStyle w:val="Footer"/>
      <w:jc w:val="right"/>
    </w:pPr>
    <w:r>
      <w:rPr>
        <w:noProof/>
      </w:rPr>
      <w:drawing>
        <wp:anchor distT="0" distB="0" distL="114300" distR="114300" simplePos="0" relativeHeight="251657728" behindDoc="0" locked="0" layoutInCell="1" allowOverlap="1" wp14:anchorId="3E82F5F4" wp14:editId="0A49163D">
          <wp:simplePos x="0" y="0"/>
          <wp:positionH relativeFrom="column">
            <wp:posOffset>-514350</wp:posOffset>
          </wp:positionH>
          <wp:positionV relativeFrom="paragraph">
            <wp:posOffset>-156210</wp:posOffset>
          </wp:positionV>
          <wp:extent cx="962025" cy="400177"/>
          <wp:effectExtent l="0" t="0" r="0" b="0"/>
          <wp:wrapSquare wrapText="bothSides"/>
          <wp:docPr id="2138378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400177"/>
                  </a:xfrm>
                  <a:prstGeom prst="rect">
                    <a:avLst/>
                  </a:prstGeom>
                  <a:noFill/>
                  <a:ln>
                    <a:noFill/>
                  </a:ln>
                </pic:spPr>
              </pic:pic>
            </a:graphicData>
          </a:graphic>
        </wp:anchor>
      </w:drawing>
    </w:r>
    <w:r>
      <w:t>Gender Pay Gap Report 202</w:t>
    </w:r>
    <w:r w:rsidR="007F39AC">
      <w:t>4</w:t>
    </w:r>
    <w:r>
      <w:t xml:space="preserve"> | Page </w:t>
    </w:r>
    <w:sdt>
      <w:sdtPr>
        <w:id w:val="66983539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6DAD4" w14:textId="77777777" w:rsidR="00B745C4" w:rsidRDefault="00B745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595DB" w14:textId="77777777" w:rsidR="00315619" w:rsidRDefault="00315619" w:rsidP="00B12CA9">
      <w:pPr>
        <w:spacing w:after="0" w:line="240" w:lineRule="auto"/>
      </w:pPr>
      <w:r>
        <w:separator/>
      </w:r>
    </w:p>
  </w:footnote>
  <w:footnote w:type="continuationSeparator" w:id="0">
    <w:p w14:paraId="5E6634A8" w14:textId="77777777" w:rsidR="00315619" w:rsidRDefault="00315619" w:rsidP="00B12C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1608C" w14:textId="77777777" w:rsidR="00B745C4" w:rsidRDefault="00B745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54D76" w14:textId="0DC343C1" w:rsidR="00B12CA9" w:rsidRDefault="00B12CA9">
    <w:pPr>
      <w:pStyle w:val="Header"/>
    </w:pPr>
    <w:r>
      <w:rPr>
        <w:noProof/>
      </w:rPr>
      <mc:AlternateContent>
        <mc:Choice Requires="wps">
          <w:drawing>
            <wp:anchor distT="0" distB="0" distL="114300" distR="114300" simplePos="0" relativeHeight="251656704" behindDoc="0" locked="0" layoutInCell="1" allowOverlap="1" wp14:anchorId="78079176" wp14:editId="326C6A76">
              <wp:simplePos x="0" y="0"/>
              <wp:positionH relativeFrom="column">
                <wp:posOffset>-1076325</wp:posOffset>
              </wp:positionH>
              <wp:positionV relativeFrom="paragraph">
                <wp:posOffset>-525779</wp:posOffset>
              </wp:positionV>
              <wp:extent cx="7896225" cy="552450"/>
              <wp:effectExtent l="0" t="0" r="9525" b="0"/>
              <wp:wrapNone/>
              <wp:docPr id="601763276" name="Rectangle 1"/>
              <wp:cNvGraphicFramePr/>
              <a:graphic xmlns:a="http://schemas.openxmlformats.org/drawingml/2006/main">
                <a:graphicData uri="http://schemas.microsoft.com/office/word/2010/wordprocessingShape">
                  <wps:wsp>
                    <wps:cNvSpPr/>
                    <wps:spPr>
                      <a:xfrm>
                        <a:off x="0" y="0"/>
                        <a:ext cx="7896225" cy="552450"/>
                      </a:xfrm>
                      <a:prstGeom prst="rect">
                        <a:avLst/>
                      </a:prstGeom>
                      <a:gradFill flip="none" rotWithShape="1">
                        <a:gsLst>
                          <a:gs pos="0">
                            <a:srgbClr val="CC0099"/>
                          </a:gs>
                          <a:gs pos="100000">
                            <a:srgbClr val="3CB1B4"/>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A199A" id="Rectangle 1" o:spid="_x0000_s1026" style="position:absolute;margin-left:-84.75pt;margin-top:-41.4pt;width:621.7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" fillcolor="#c09" stroked="f" strokeweight="1pt">
              <v:fill color2="#3cb1b4" rotate="t" angle="9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BEA8B" w14:textId="77777777" w:rsidR="00B745C4" w:rsidRDefault="00B745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56843"/>
    <w:multiLevelType w:val="multilevel"/>
    <w:tmpl w:val="51546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8F110D"/>
    <w:multiLevelType w:val="hybridMultilevel"/>
    <w:tmpl w:val="26283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EE2123"/>
    <w:multiLevelType w:val="multilevel"/>
    <w:tmpl w:val="F1DC1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77043B"/>
    <w:multiLevelType w:val="hybridMultilevel"/>
    <w:tmpl w:val="0A18A0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DC47FB6"/>
    <w:multiLevelType w:val="multilevel"/>
    <w:tmpl w:val="82DC9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971E11"/>
    <w:multiLevelType w:val="hybridMultilevel"/>
    <w:tmpl w:val="5D12F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EF0916"/>
    <w:multiLevelType w:val="hybridMultilevel"/>
    <w:tmpl w:val="82543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8F3D22"/>
    <w:multiLevelType w:val="multilevel"/>
    <w:tmpl w:val="FBEC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E7029F"/>
    <w:multiLevelType w:val="multilevel"/>
    <w:tmpl w:val="80E6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0030FD"/>
    <w:multiLevelType w:val="hybridMultilevel"/>
    <w:tmpl w:val="31FAD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27134D"/>
    <w:multiLevelType w:val="multilevel"/>
    <w:tmpl w:val="25CE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68559C"/>
    <w:multiLevelType w:val="multilevel"/>
    <w:tmpl w:val="512EAF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C229FD"/>
    <w:multiLevelType w:val="multilevel"/>
    <w:tmpl w:val="1BB0B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3C384F"/>
    <w:multiLevelType w:val="multilevel"/>
    <w:tmpl w:val="D9948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A663E4"/>
    <w:multiLevelType w:val="multilevel"/>
    <w:tmpl w:val="EB142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EE4072"/>
    <w:multiLevelType w:val="hybridMultilevel"/>
    <w:tmpl w:val="1B4696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2FF4B9E"/>
    <w:multiLevelType w:val="multilevel"/>
    <w:tmpl w:val="42F0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D82C70"/>
    <w:multiLevelType w:val="hybridMultilevel"/>
    <w:tmpl w:val="246A55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0223373"/>
    <w:multiLevelType w:val="multilevel"/>
    <w:tmpl w:val="EB2CA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5B5D72"/>
    <w:multiLevelType w:val="multilevel"/>
    <w:tmpl w:val="4828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9E21CC"/>
    <w:multiLevelType w:val="multilevel"/>
    <w:tmpl w:val="92D6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78639A"/>
    <w:multiLevelType w:val="hybridMultilevel"/>
    <w:tmpl w:val="AED6B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9008808">
    <w:abstractNumId w:val="8"/>
  </w:num>
  <w:num w:numId="2" w16cid:durableId="840244909">
    <w:abstractNumId w:val="11"/>
  </w:num>
  <w:num w:numId="3" w16cid:durableId="226109835">
    <w:abstractNumId w:val="9"/>
  </w:num>
  <w:num w:numId="4" w16cid:durableId="2109616133">
    <w:abstractNumId w:val="17"/>
  </w:num>
  <w:num w:numId="5" w16cid:durableId="1722052294">
    <w:abstractNumId w:val="6"/>
  </w:num>
  <w:num w:numId="6" w16cid:durableId="1685937809">
    <w:abstractNumId w:val="21"/>
  </w:num>
  <w:num w:numId="7" w16cid:durableId="444545214">
    <w:abstractNumId w:val="19"/>
  </w:num>
  <w:num w:numId="8" w16cid:durableId="131025938">
    <w:abstractNumId w:val="4"/>
  </w:num>
  <w:num w:numId="9" w16cid:durableId="70934730">
    <w:abstractNumId w:val="7"/>
  </w:num>
  <w:num w:numId="10" w16cid:durableId="2017924166">
    <w:abstractNumId w:val="18"/>
  </w:num>
  <w:num w:numId="11" w16cid:durableId="1966616641">
    <w:abstractNumId w:val="0"/>
  </w:num>
  <w:num w:numId="12" w16cid:durableId="1850555786">
    <w:abstractNumId w:val="12"/>
  </w:num>
  <w:num w:numId="13" w16cid:durableId="472910311">
    <w:abstractNumId w:val="13"/>
  </w:num>
  <w:num w:numId="14" w16cid:durableId="417487113">
    <w:abstractNumId w:val="14"/>
  </w:num>
  <w:num w:numId="15" w16cid:durableId="1848326414">
    <w:abstractNumId w:val="16"/>
  </w:num>
  <w:num w:numId="16" w16cid:durableId="164902590">
    <w:abstractNumId w:val="20"/>
  </w:num>
  <w:num w:numId="17" w16cid:durableId="1137913802">
    <w:abstractNumId w:val="10"/>
  </w:num>
  <w:num w:numId="18" w16cid:durableId="137721719">
    <w:abstractNumId w:val="1"/>
  </w:num>
  <w:num w:numId="19" w16cid:durableId="452990537">
    <w:abstractNumId w:val="5"/>
  </w:num>
  <w:num w:numId="20" w16cid:durableId="55671421">
    <w:abstractNumId w:val="3"/>
  </w:num>
  <w:num w:numId="21" w16cid:durableId="655838975">
    <w:abstractNumId w:val="2"/>
  </w:num>
  <w:num w:numId="22" w16cid:durableId="76862219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CA9"/>
    <w:rsid w:val="000253A1"/>
    <w:rsid w:val="0004386C"/>
    <w:rsid w:val="00043A8C"/>
    <w:rsid w:val="00086A56"/>
    <w:rsid w:val="000A7217"/>
    <w:rsid w:val="000D4755"/>
    <w:rsid w:val="0011158C"/>
    <w:rsid w:val="001176B1"/>
    <w:rsid w:val="001247AF"/>
    <w:rsid w:val="00145950"/>
    <w:rsid w:val="001570DD"/>
    <w:rsid w:val="00183AB3"/>
    <w:rsid w:val="001B5100"/>
    <w:rsid w:val="00200F72"/>
    <w:rsid w:val="00215935"/>
    <w:rsid w:val="00241F49"/>
    <w:rsid w:val="002813DB"/>
    <w:rsid w:val="0029636C"/>
    <w:rsid w:val="00315619"/>
    <w:rsid w:val="003203EF"/>
    <w:rsid w:val="00333999"/>
    <w:rsid w:val="0041297E"/>
    <w:rsid w:val="0042378A"/>
    <w:rsid w:val="00445DD2"/>
    <w:rsid w:val="004538CA"/>
    <w:rsid w:val="00572070"/>
    <w:rsid w:val="00575DEA"/>
    <w:rsid w:val="00580B15"/>
    <w:rsid w:val="005A26D6"/>
    <w:rsid w:val="005D13EE"/>
    <w:rsid w:val="006316CA"/>
    <w:rsid w:val="0063698D"/>
    <w:rsid w:val="00683A73"/>
    <w:rsid w:val="00694D37"/>
    <w:rsid w:val="006D1459"/>
    <w:rsid w:val="0076223B"/>
    <w:rsid w:val="00774FD5"/>
    <w:rsid w:val="00794C1E"/>
    <w:rsid w:val="007F3861"/>
    <w:rsid w:val="007F39AC"/>
    <w:rsid w:val="007F4FB4"/>
    <w:rsid w:val="008210A0"/>
    <w:rsid w:val="008748F0"/>
    <w:rsid w:val="00895159"/>
    <w:rsid w:val="008B43F1"/>
    <w:rsid w:val="008E5233"/>
    <w:rsid w:val="008E71B3"/>
    <w:rsid w:val="008F7D7C"/>
    <w:rsid w:val="00945A4D"/>
    <w:rsid w:val="0095228A"/>
    <w:rsid w:val="00953B9D"/>
    <w:rsid w:val="00986E4B"/>
    <w:rsid w:val="009A77DD"/>
    <w:rsid w:val="009F0C1B"/>
    <w:rsid w:val="009F168A"/>
    <w:rsid w:val="009F3FD4"/>
    <w:rsid w:val="00A00F8B"/>
    <w:rsid w:val="00A37F3E"/>
    <w:rsid w:val="00A549BB"/>
    <w:rsid w:val="00A55FA6"/>
    <w:rsid w:val="00A57795"/>
    <w:rsid w:val="00A615E6"/>
    <w:rsid w:val="00A632C7"/>
    <w:rsid w:val="00A80E8B"/>
    <w:rsid w:val="00A9643D"/>
    <w:rsid w:val="00AB0AEE"/>
    <w:rsid w:val="00AD7E93"/>
    <w:rsid w:val="00AE2AE7"/>
    <w:rsid w:val="00B0163B"/>
    <w:rsid w:val="00B036F3"/>
    <w:rsid w:val="00B06AB6"/>
    <w:rsid w:val="00B12CA9"/>
    <w:rsid w:val="00B33CFA"/>
    <w:rsid w:val="00B60302"/>
    <w:rsid w:val="00B745C4"/>
    <w:rsid w:val="00B85487"/>
    <w:rsid w:val="00B91FA4"/>
    <w:rsid w:val="00B923CB"/>
    <w:rsid w:val="00BA5EEB"/>
    <w:rsid w:val="00BB1493"/>
    <w:rsid w:val="00BD6A10"/>
    <w:rsid w:val="00C73A8B"/>
    <w:rsid w:val="00C747B8"/>
    <w:rsid w:val="00CA60E9"/>
    <w:rsid w:val="00CC42F1"/>
    <w:rsid w:val="00CF7F28"/>
    <w:rsid w:val="00D14EC1"/>
    <w:rsid w:val="00D225D1"/>
    <w:rsid w:val="00D4212F"/>
    <w:rsid w:val="00D42DF5"/>
    <w:rsid w:val="00E04D66"/>
    <w:rsid w:val="00E8179A"/>
    <w:rsid w:val="00EA78EB"/>
    <w:rsid w:val="00EA7C72"/>
    <w:rsid w:val="00EF0F77"/>
    <w:rsid w:val="00F42C4D"/>
    <w:rsid w:val="00F57AB0"/>
    <w:rsid w:val="00F8793A"/>
    <w:rsid w:val="00F94BFD"/>
    <w:rsid w:val="00FA3848"/>
    <w:rsid w:val="00FA72F1"/>
    <w:rsid w:val="00FA7D5C"/>
    <w:rsid w:val="00FD3FA2"/>
    <w:rsid w:val="00FE74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FFF75"/>
  <w15:chartTrackingRefBased/>
  <w15:docId w15:val="{8DF66FD5-D36F-4971-A13D-65B07B28D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7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2C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CA9"/>
  </w:style>
  <w:style w:type="paragraph" w:styleId="Footer">
    <w:name w:val="footer"/>
    <w:basedOn w:val="Normal"/>
    <w:link w:val="FooterChar"/>
    <w:uiPriority w:val="99"/>
    <w:unhideWhenUsed/>
    <w:rsid w:val="00B12C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CA9"/>
  </w:style>
  <w:style w:type="paragraph" w:styleId="ListParagraph">
    <w:name w:val="List Paragraph"/>
    <w:basedOn w:val="Normal"/>
    <w:uiPriority w:val="34"/>
    <w:qFormat/>
    <w:rsid w:val="000D4755"/>
    <w:pPr>
      <w:ind w:left="720"/>
      <w:contextualSpacing/>
    </w:pPr>
  </w:style>
  <w:style w:type="paragraph" w:styleId="NormalWeb">
    <w:name w:val="Normal (Web)"/>
    <w:basedOn w:val="Normal"/>
    <w:uiPriority w:val="99"/>
    <w:semiHidden/>
    <w:unhideWhenUsed/>
    <w:rsid w:val="000D475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D4755"/>
    <w:rPr>
      <w:b/>
      <w:bCs/>
    </w:rPr>
  </w:style>
  <w:style w:type="character" w:styleId="CommentReference">
    <w:name w:val="annotation reference"/>
    <w:basedOn w:val="DefaultParagraphFont"/>
    <w:uiPriority w:val="99"/>
    <w:semiHidden/>
    <w:unhideWhenUsed/>
    <w:rsid w:val="00AB0AEE"/>
    <w:rPr>
      <w:sz w:val="16"/>
      <w:szCs w:val="16"/>
    </w:rPr>
  </w:style>
  <w:style w:type="paragraph" w:styleId="CommentText">
    <w:name w:val="annotation text"/>
    <w:basedOn w:val="Normal"/>
    <w:link w:val="CommentTextChar"/>
    <w:uiPriority w:val="99"/>
    <w:unhideWhenUsed/>
    <w:rsid w:val="00AB0AEE"/>
    <w:pPr>
      <w:spacing w:line="240" w:lineRule="auto"/>
    </w:pPr>
    <w:rPr>
      <w:sz w:val="20"/>
      <w:szCs w:val="20"/>
    </w:rPr>
  </w:style>
  <w:style w:type="character" w:customStyle="1" w:styleId="CommentTextChar">
    <w:name w:val="Comment Text Char"/>
    <w:basedOn w:val="DefaultParagraphFont"/>
    <w:link w:val="CommentText"/>
    <w:uiPriority w:val="99"/>
    <w:rsid w:val="00AB0AEE"/>
    <w:rPr>
      <w:sz w:val="20"/>
      <w:szCs w:val="20"/>
    </w:rPr>
  </w:style>
  <w:style w:type="paragraph" w:styleId="CommentSubject">
    <w:name w:val="annotation subject"/>
    <w:basedOn w:val="CommentText"/>
    <w:next w:val="CommentText"/>
    <w:link w:val="CommentSubjectChar"/>
    <w:uiPriority w:val="99"/>
    <w:semiHidden/>
    <w:unhideWhenUsed/>
    <w:rsid w:val="00AB0AEE"/>
    <w:rPr>
      <w:b/>
      <w:bCs/>
    </w:rPr>
  </w:style>
  <w:style w:type="character" w:customStyle="1" w:styleId="CommentSubjectChar">
    <w:name w:val="Comment Subject Char"/>
    <w:basedOn w:val="CommentTextChar"/>
    <w:link w:val="CommentSubject"/>
    <w:uiPriority w:val="99"/>
    <w:semiHidden/>
    <w:rsid w:val="00AB0AEE"/>
    <w:rPr>
      <w:b/>
      <w:bCs/>
      <w:sz w:val="20"/>
      <w:szCs w:val="20"/>
    </w:rPr>
  </w:style>
  <w:style w:type="character" w:styleId="Hyperlink">
    <w:name w:val="Hyperlink"/>
    <w:basedOn w:val="DefaultParagraphFont"/>
    <w:uiPriority w:val="99"/>
    <w:semiHidden/>
    <w:unhideWhenUsed/>
    <w:rsid w:val="006D1459"/>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25882">
      <w:bodyDiv w:val="1"/>
      <w:marLeft w:val="0"/>
      <w:marRight w:val="0"/>
      <w:marTop w:val="0"/>
      <w:marBottom w:val="0"/>
      <w:divBdr>
        <w:top w:val="none" w:sz="0" w:space="0" w:color="auto"/>
        <w:left w:val="none" w:sz="0" w:space="0" w:color="auto"/>
        <w:bottom w:val="none" w:sz="0" w:space="0" w:color="auto"/>
        <w:right w:val="none" w:sz="0" w:space="0" w:color="auto"/>
      </w:divBdr>
    </w:div>
    <w:div w:id="50277830">
      <w:bodyDiv w:val="1"/>
      <w:marLeft w:val="0"/>
      <w:marRight w:val="0"/>
      <w:marTop w:val="0"/>
      <w:marBottom w:val="0"/>
      <w:divBdr>
        <w:top w:val="none" w:sz="0" w:space="0" w:color="auto"/>
        <w:left w:val="none" w:sz="0" w:space="0" w:color="auto"/>
        <w:bottom w:val="none" w:sz="0" w:space="0" w:color="auto"/>
        <w:right w:val="none" w:sz="0" w:space="0" w:color="auto"/>
      </w:divBdr>
    </w:div>
    <w:div w:id="76100485">
      <w:bodyDiv w:val="1"/>
      <w:marLeft w:val="0"/>
      <w:marRight w:val="0"/>
      <w:marTop w:val="0"/>
      <w:marBottom w:val="0"/>
      <w:divBdr>
        <w:top w:val="none" w:sz="0" w:space="0" w:color="auto"/>
        <w:left w:val="none" w:sz="0" w:space="0" w:color="auto"/>
        <w:bottom w:val="none" w:sz="0" w:space="0" w:color="auto"/>
        <w:right w:val="none" w:sz="0" w:space="0" w:color="auto"/>
      </w:divBdr>
    </w:div>
    <w:div w:id="86465359">
      <w:bodyDiv w:val="1"/>
      <w:marLeft w:val="0"/>
      <w:marRight w:val="0"/>
      <w:marTop w:val="0"/>
      <w:marBottom w:val="0"/>
      <w:divBdr>
        <w:top w:val="none" w:sz="0" w:space="0" w:color="auto"/>
        <w:left w:val="none" w:sz="0" w:space="0" w:color="auto"/>
        <w:bottom w:val="none" w:sz="0" w:space="0" w:color="auto"/>
        <w:right w:val="none" w:sz="0" w:space="0" w:color="auto"/>
      </w:divBdr>
    </w:div>
    <w:div w:id="329601748">
      <w:bodyDiv w:val="1"/>
      <w:marLeft w:val="0"/>
      <w:marRight w:val="0"/>
      <w:marTop w:val="0"/>
      <w:marBottom w:val="0"/>
      <w:divBdr>
        <w:top w:val="none" w:sz="0" w:space="0" w:color="auto"/>
        <w:left w:val="none" w:sz="0" w:space="0" w:color="auto"/>
        <w:bottom w:val="none" w:sz="0" w:space="0" w:color="auto"/>
        <w:right w:val="none" w:sz="0" w:space="0" w:color="auto"/>
      </w:divBdr>
    </w:div>
    <w:div w:id="591671344">
      <w:bodyDiv w:val="1"/>
      <w:marLeft w:val="0"/>
      <w:marRight w:val="0"/>
      <w:marTop w:val="0"/>
      <w:marBottom w:val="0"/>
      <w:divBdr>
        <w:top w:val="none" w:sz="0" w:space="0" w:color="auto"/>
        <w:left w:val="none" w:sz="0" w:space="0" w:color="auto"/>
        <w:bottom w:val="none" w:sz="0" w:space="0" w:color="auto"/>
        <w:right w:val="none" w:sz="0" w:space="0" w:color="auto"/>
      </w:divBdr>
    </w:div>
    <w:div w:id="614681906">
      <w:bodyDiv w:val="1"/>
      <w:marLeft w:val="0"/>
      <w:marRight w:val="0"/>
      <w:marTop w:val="0"/>
      <w:marBottom w:val="0"/>
      <w:divBdr>
        <w:top w:val="none" w:sz="0" w:space="0" w:color="auto"/>
        <w:left w:val="none" w:sz="0" w:space="0" w:color="auto"/>
        <w:bottom w:val="none" w:sz="0" w:space="0" w:color="auto"/>
        <w:right w:val="none" w:sz="0" w:space="0" w:color="auto"/>
      </w:divBdr>
    </w:div>
    <w:div w:id="629015921">
      <w:bodyDiv w:val="1"/>
      <w:marLeft w:val="0"/>
      <w:marRight w:val="0"/>
      <w:marTop w:val="0"/>
      <w:marBottom w:val="0"/>
      <w:divBdr>
        <w:top w:val="none" w:sz="0" w:space="0" w:color="auto"/>
        <w:left w:val="none" w:sz="0" w:space="0" w:color="auto"/>
        <w:bottom w:val="none" w:sz="0" w:space="0" w:color="auto"/>
        <w:right w:val="none" w:sz="0" w:space="0" w:color="auto"/>
      </w:divBdr>
    </w:div>
    <w:div w:id="786238364">
      <w:bodyDiv w:val="1"/>
      <w:marLeft w:val="0"/>
      <w:marRight w:val="0"/>
      <w:marTop w:val="0"/>
      <w:marBottom w:val="0"/>
      <w:divBdr>
        <w:top w:val="none" w:sz="0" w:space="0" w:color="auto"/>
        <w:left w:val="none" w:sz="0" w:space="0" w:color="auto"/>
        <w:bottom w:val="none" w:sz="0" w:space="0" w:color="auto"/>
        <w:right w:val="none" w:sz="0" w:space="0" w:color="auto"/>
      </w:divBdr>
    </w:div>
    <w:div w:id="884171777">
      <w:bodyDiv w:val="1"/>
      <w:marLeft w:val="0"/>
      <w:marRight w:val="0"/>
      <w:marTop w:val="0"/>
      <w:marBottom w:val="0"/>
      <w:divBdr>
        <w:top w:val="none" w:sz="0" w:space="0" w:color="auto"/>
        <w:left w:val="none" w:sz="0" w:space="0" w:color="auto"/>
        <w:bottom w:val="none" w:sz="0" w:space="0" w:color="auto"/>
        <w:right w:val="none" w:sz="0" w:space="0" w:color="auto"/>
      </w:divBdr>
    </w:div>
    <w:div w:id="894126646">
      <w:bodyDiv w:val="1"/>
      <w:marLeft w:val="0"/>
      <w:marRight w:val="0"/>
      <w:marTop w:val="0"/>
      <w:marBottom w:val="0"/>
      <w:divBdr>
        <w:top w:val="none" w:sz="0" w:space="0" w:color="auto"/>
        <w:left w:val="none" w:sz="0" w:space="0" w:color="auto"/>
        <w:bottom w:val="none" w:sz="0" w:space="0" w:color="auto"/>
        <w:right w:val="none" w:sz="0" w:space="0" w:color="auto"/>
      </w:divBdr>
    </w:div>
    <w:div w:id="1039235023">
      <w:bodyDiv w:val="1"/>
      <w:marLeft w:val="0"/>
      <w:marRight w:val="0"/>
      <w:marTop w:val="0"/>
      <w:marBottom w:val="0"/>
      <w:divBdr>
        <w:top w:val="none" w:sz="0" w:space="0" w:color="auto"/>
        <w:left w:val="none" w:sz="0" w:space="0" w:color="auto"/>
        <w:bottom w:val="none" w:sz="0" w:space="0" w:color="auto"/>
        <w:right w:val="none" w:sz="0" w:space="0" w:color="auto"/>
      </w:divBdr>
    </w:div>
    <w:div w:id="1208681543">
      <w:bodyDiv w:val="1"/>
      <w:marLeft w:val="0"/>
      <w:marRight w:val="0"/>
      <w:marTop w:val="0"/>
      <w:marBottom w:val="0"/>
      <w:divBdr>
        <w:top w:val="none" w:sz="0" w:space="0" w:color="auto"/>
        <w:left w:val="none" w:sz="0" w:space="0" w:color="auto"/>
        <w:bottom w:val="none" w:sz="0" w:space="0" w:color="auto"/>
        <w:right w:val="none" w:sz="0" w:space="0" w:color="auto"/>
      </w:divBdr>
    </w:div>
    <w:div w:id="1300496941">
      <w:bodyDiv w:val="1"/>
      <w:marLeft w:val="0"/>
      <w:marRight w:val="0"/>
      <w:marTop w:val="0"/>
      <w:marBottom w:val="0"/>
      <w:divBdr>
        <w:top w:val="none" w:sz="0" w:space="0" w:color="auto"/>
        <w:left w:val="none" w:sz="0" w:space="0" w:color="auto"/>
        <w:bottom w:val="none" w:sz="0" w:space="0" w:color="auto"/>
        <w:right w:val="none" w:sz="0" w:space="0" w:color="auto"/>
      </w:divBdr>
    </w:div>
    <w:div w:id="1361931216">
      <w:bodyDiv w:val="1"/>
      <w:marLeft w:val="0"/>
      <w:marRight w:val="0"/>
      <w:marTop w:val="0"/>
      <w:marBottom w:val="0"/>
      <w:divBdr>
        <w:top w:val="none" w:sz="0" w:space="0" w:color="auto"/>
        <w:left w:val="none" w:sz="0" w:space="0" w:color="auto"/>
        <w:bottom w:val="none" w:sz="0" w:space="0" w:color="auto"/>
        <w:right w:val="none" w:sz="0" w:space="0" w:color="auto"/>
      </w:divBdr>
    </w:div>
    <w:div w:id="1606569628">
      <w:bodyDiv w:val="1"/>
      <w:marLeft w:val="0"/>
      <w:marRight w:val="0"/>
      <w:marTop w:val="0"/>
      <w:marBottom w:val="0"/>
      <w:divBdr>
        <w:top w:val="none" w:sz="0" w:space="0" w:color="auto"/>
        <w:left w:val="none" w:sz="0" w:space="0" w:color="auto"/>
        <w:bottom w:val="none" w:sz="0" w:space="0" w:color="auto"/>
        <w:right w:val="none" w:sz="0" w:space="0" w:color="auto"/>
      </w:divBdr>
    </w:div>
    <w:div w:id="1661233013">
      <w:bodyDiv w:val="1"/>
      <w:marLeft w:val="0"/>
      <w:marRight w:val="0"/>
      <w:marTop w:val="0"/>
      <w:marBottom w:val="0"/>
      <w:divBdr>
        <w:top w:val="none" w:sz="0" w:space="0" w:color="auto"/>
        <w:left w:val="none" w:sz="0" w:space="0" w:color="auto"/>
        <w:bottom w:val="none" w:sz="0" w:space="0" w:color="auto"/>
        <w:right w:val="none" w:sz="0" w:space="0" w:color="auto"/>
      </w:divBdr>
    </w:div>
    <w:div w:id="167733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sv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gbr01.safelinks.protection.outlook.com/?url=https%3A%2F%2Fwww.nhsemployers.org%2Fpublications%2Fconsultant-doctors-and-dentists-pay-progression-system-guidance&amp;data=05%7C02%7Cvicki.robinson1%40nhs.net%7Cc670752926ec443c8b4f08dd093f2b8e%7C37c354b285b047f5b22207b48d774ee3%7C0%7C0%7C638676889091074105%7CUnknown%7CTWFpbGZsb3d8eyJFbXB0eU1hcGkiOnRydWUsIlYiOiIwLjAuMDAwMCIsIlAiOiJXaW4zMiIsIkFOIjoiTWFpbCIsIldUIjoyfQ%3D%3D%7C0%7C%7C%7C&amp;sdata=kGILnMGPvi2P5nKHic%2BTp76V%2BJKCxSjoTJRuegprYpI%3D&amp;reserved=0"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1" i="0" u="none" strike="noStrike" kern="1200" spc="0" baseline="0">
                <a:solidFill>
                  <a:schemeClr val="tx1"/>
                </a:solidFill>
                <a:latin typeface="Arial" panose="020B0604020202020204" pitchFamily="34" charset="0"/>
                <a:ea typeface="+mn-ea"/>
                <a:cs typeface="Arial" panose="020B0604020202020204" pitchFamily="34" charset="0"/>
              </a:defRPr>
            </a:pPr>
            <a:r>
              <a:rPr lang="en-GB" dirty="0"/>
              <a:t>2023/24 Pay Quartile (All Staff)</a:t>
            </a:r>
          </a:p>
        </c:rich>
      </c:tx>
      <c:overlay val="0"/>
      <c:spPr>
        <a:noFill/>
        <a:ln>
          <a:noFill/>
        </a:ln>
        <a:effectLst/>
      </c:spPr>
      <c:txPr>
        <a:bodyPr rot="0" spcFirstLastPara="1" vertOverflow="ellipsis" vert="horz" wrap="square" anchor="ctr" anchorCtr="1"/>
        <a:lstStyle/>
        <a:p>
          <a:pPr>
            <a:defRPr sz="1862"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2023 Female %</c:v>
                </c:pt>
              </c:strCache>
            </c:strRef>
          </c:tx>
          <c:spPr>
            <a:solidFill>
              <a:srgbClr val="44257D"/>
            </a:solidFill>
            <a:ln>
              <a:noFill/>
            </a:ln>
            <a:effectLst/>
          </c:spPr>
          <c:invertIfNegative val="0"/>
          <c:dLbls>
            <c:dLbl>
              <c:idx val="2"/>
              <c:layout>
                <c:manualLayout>
                  <c:x val="-8.8632838466651889E-3"/>
                  <c:y val="3.32391557254445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24F-4C07-B213-E8EB314E31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Quartile 1</c:v>
                </c:pt>
                <c:pt idx="1">
                  <c:v>Quartile 2</c:v>
                </c:pt>
                <c:pt idx="2">
                  <c:v>Quartile 3</c:v>
                </c:pt>
                <c:pt idx="3">
                  <c:v>Quartile 4</c:v>
                </c:pt>
              </c:strCache>
            </c:strRef>
          </c:cat>
          <c:val>
            <c:numRef>
              <c:f>Sheet1!$B$2:$B$5</c:f>
              <c:numCache>
                <c:formatCode>0.00%</c:formatCode>
                <c:ptCount val="4"/>
                <c:pt idx="0">
                  <c:v>0.79259999999999997</c:v>
                </c:pt>
                <c:pt idx="1">
                  <c:v>0.80249999999999999</c:v>
                </c:pt>
                <c:pt idx="2">
                  <c:v>0.85250000000000004</c:v>
                </c:pt>
                <c:pt idx="3">
                  <c:v>0.69989999999999997</c:v>
                </c:pt>
              </c:numCache>
            </c:numRef>
          </c:val>
          <c:extLst>
            <c:ext xmlns:c16="http://schemas.microsoft.com/office/drawing/2014/chart" uri="{C3380CC4-5D6E-409C-BE32-E72D297353CC}">
              <c16:uniqueId val="{00000000-C24F-4C07-B213-E8EB314E314E}"/>
            </c:ext>
          </c:extLst>
        </c:ser>
        <c:ser>
          <c:idx val="1"/>
          <c:order val="1"/>
          <c:tx>
            <c:strRef>
              <c:f>Sheet1!$C$1</c:f>
              <c:strCache>
                <c:ptCount val="1"/>
                <c:pt idx="0">
                  <c:v>2024 Female %</c:v>
                </c:pt>
              </c:strCache>
            </c:strRef>
          </c:tx>
          <c:spPr>
            <a:solidFill>
              <a:srgbClr val="BE0377"/>
            </a:solidFill>
            <a:ln>
              <a:noFill/>
            </a:ln>
            <a:effectLst/>
          </c:spPr>
          <c:invertIfNegative val="0"/>
          <c:dLbls>
            <c:dLbl>
              <c:idx val="0"/>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9.4205715422288366E-2"/>
                      <c:h val="8.4244771048957084E-2"/>
                    </c:manualLayout>
                  </c15:layout>
                </c:ext>
                <c:ext xmlns:c16="http://schemas.microsoft.com/office/drawing/2014/chart" uri="{C3380CC4-5D6E-409C-BE32-E72D297353CC}">
                  <c16:uniqueId val="{00000008-C24F-4C07-B213-E8EB314E314E}"/>
                </c:ext>
              </c:extLst>
            </c:dLbl>
            <c:dLbl>
              <c:idx val="1"/>
              <c:layout>
                <c:manualLayout>
                  <c:x val="3.6561045867493827E-2"/>
                  <c:y val="8.3099197941789056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7.6479147728957989E-2"/>
                      <c:h val="5.100561532351252E-2"/>
                    </c:manualLayout>
                  </c15:layout>
                </c:ext>
                <c:ext xmlns:c16="http://schemas.microsoft.com/office/drawing/2014/chart" uri="{C3380CC4-5D6E-409C-BE32-E72D297353CC}">
                  <c16:uniqueId val="{00000007-C24F-4C07-B213-E8EB314E314E}"/>
                </c:ext>
              </c:extLst>
            </c:dLbl>
            <c:dLbl>
              <c:idx val="2"/>
              <c:layout>
                <c:manualLayout>
                  <c:x val="1.7726567693330458E-2"/>
                  <c:y val="-1.6619577862722335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7.4263326767291693E-2"/>
                      <c:h val="4.1033868605879133E-2"/>
                    </c:manualLayout>
                  </c15:layout>
                </c:ext>
                <c:ext xmlns:c16="http://schemas.microsoft.com/office/drawing/2014/chart" uri="{C3380CC4-5D6E-409C-BE32-E72D297353CC}">
                  <c16:uniqueId val="{00000004-C24F-4C07-B213-E8EB314E314E}"/>
                </c:ext>
              </c:extLst>
            </c:dLbl>
            <c:dLbl>
              <c:idx val="3"/>
              <c:layout>
                <c:manualLayout>
                  <c:x val="1.329492576999778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4F-4C07-B213-E8EB314E31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Quartile 1</c:v>
                </c:pt>
                <c:pt idx="1">
                  <c:v>Quartile 2</c:v>
                </c:pt>
                <c:pt idx="2">
                  <c:v>Quartile 3</c:v>
                </c:pt>
                <c:pt idx="3">
                  <c:v>Quartile 4</c:v>
                </c:pt>
              </c:strCache>
            </c:strRef>
          </c:cat>
          <c:val>
            <c:numRef>
              <c:f>Sheet1!$C$2:$C$5</c:f>
              <c:numCache>
                <c:formatCode>0.00%</c:formatCode>
                <c:ptCount val="4"/>
                <c:pt idx="0">
                  <c:v>0.79549999999999998</c:v>
                </c:pt>
                <c:pt idx="1">
                  <c:v>0.77590000000000003</c:v>
                </c:pt>
                <c:pt idx="2">
                  <c:v>0.83409999999999995</c:v>
                </c:pt>
                <c:pt idx="3">
                  <c:v>0.68779999999999997</c:v>
                </c:pt>
              </c:numCache>
            </c:numRef>
          </c:val>
          <c:extLst>
            <c:ext xmlns:c16="http://schemas.microsoft.com/office/drawing/2014/chart" uri="{C3380CC4-5D6E-409C-BE32-E72D297353CC}">
              <c16:uniqueId val="{00000001-C24F-4C07-B213-E8EB314E314E}"/>
            </c:ext>
          </c:extLst>
        </c:ser>
        <c:ser>
          <c:idx val="2"/>
          <c:order val="2"/>
          <c:tx>
            <c:strRef>
              <c:f>Sheet1!$D$1</c:f>
              <c:strCache>
                <c:ptCount val="1"/>
                <c:pt idx="0">
                  <c:v>2023 Male %</c:v>
                </c:pt>
              </c:strCache>
            </c:strRef>
          </c:tx>
          <c:spPr>
            <a:solidFill>
              <a:srgbClr val="EF7B14"/>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Quartile 1</c:v>
                </c:pt>
                <c:pt idx="1">
                  <c:v>Quartile 2</c:v>
                </c:pt>
                <c:pt idx="2">
                  <c:v>Quartile 3</c:v>
                </c:pt>
                <c:pt idx="3">
                  <c:v>Quartile 4</c:v>
                </c:pt>
              </c:strCache>
            </c:strRef>
          </c:cat>
          <c:val>
            <c:numRef>
              <c:f>Sheet1!$D$2:$D$5</c:f>
              <c:numCache>
                <c:formatCode>0.00%</c:formatCode>
                <c:ptCount val="4"/>
                <c:pt idx="0">
                  <c:v>0.2074</c:v>
                </c:pt>
                <c:pt idx="1">
                  <c:v>0.19750000000000001</c:v>
                </c:pt>
                <c:pt idx="2">
                  <c:v>0.14749999999999999</c:v>
                </c:pt>
                <c:pt idx="3">
                  <c:v>0.30009999999999998</c:v>
                </c:pt>
              </c:numCache>
            </c:numRef>
          </c:val>
          <c:extLst>
            <c:ext xmlns:c16="http://schemas.microsoft.com/office/drawing/2014/chart" uri="{C3380CC4-5D6E-409C-BE32-E72D297353CC}">
              <c16:uniqueId val="{00000002-C24F-4C07-B213-E8EB314E314E}"/>
            </c:ext>
          </c:extLst>
        </c:ser>
        <c:ser>
          <c:idx val="3"/>
          <c:order val="3"/>
          <c:tx>
            <c:strRef>
              <c:f>Sheet1!$E$1</c:f>
              <c:strCache>
                <c:ptCount val="1"/>
                <c:pt idx="0">
                  <c:v>2024 Male %</c:v>
                </c:pt>
              </c:strCache>
            </c:strRef>
          </c:tx>
          <c:spPr>
            <a:solidFill>
              <a:srgbClr val="00A098"/>
            </a:solidFill>
            <a:ln>
              <a:noFill/>
            </a:ln>
            <a:effectLst/>
          </c:spPr>
          <c:invertIfNegative val="0"/>
          <c:dLbls>
            <c:dLbl>
              <c:idx val="0"/>
              <c:layout>
                <c:manualLayout>
                  <c:x val="2.437403057832923E-2"/>
                  <c:y val="3.32391557254445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4F-4C07-B213-E8EB314E314E}"/>
                </c:ext>
              </c:extLst>
            </c:dLbl>
            <c:dLbl>
              <c:idx val="1"/>
              <c:layout>
                <c:manualLayout>
                  <c:x val="4.4316419233325138E-3"/>
                  <c:y val="-2.32674090078112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24F-4C07-B213-E8EB314E314E}"/>
                </c:ext>
              </c:extLst>
            </c:dLbl>
            <c:dLbl>
              <c:idx val="2"/>
              <c:layout>
                <c:manualLayout>
                  <c:x val="3.323731442499446E-2"/>
                  <c:y val="-4.985873358816685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6.9831684843959102E-2"/>
                      <c:h val="5.100561532351252E-2"/>
                    </c:manualLayout>
                  </c15:layout>
                </c:ext>
                <c:ext xmlns:c16="http://schemas.microsoft.com/office/drawing/2014/chart" uri="{C3380CC4-5D6E-409C-BE32-E72D297353CC}">
                  <c16:uniqueId val="{0000000B-C24F-4C07-B213-E8EB314E314E}"/>
                </c:ext>
              </c:extLst>
            </c:dLbl>
            <c:dLbl>
              <c:idx val="3"/>
              <c:layout>
                <c:manualLayout>
                  <c:x val="8.8633710837109289E-3"/>
                  <c:y val="-5.4844606946983496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6.9831684843959102E-2"/>
                      <c:h val="4.1033868605879133E-2"/>
                    </c:manualLayout>
                  </c15:layout>
                </c:ext>
                <c:ext xmlns:c16="http://schemas.microsoft.com/office/drawing/2014/chart" uri="{C3380CC4-5D6E-409C-BE32-E72D297353CC}">
                  <c16:uniqueId val="{0000000C-C24F-4C07-B213-E8EB314E31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Quartile 1</c:v>
                </c:pt>
                <c:pt idx="1">
                  <c:v>Quartile 2</c:v>
                </c:pt>
                <c:pt idx="2">
                  <c:v>Quartile 3</c:v>
                </c:pt>
                <c:pt idx="3">
                  <c:v>Quartile 4</c:v>
                </c:pt>
              </c:strCache>
            </c:strRef>
          </c:cat>
          <c:val>
            <c:numRef>
              <c:f>Sheet1!$E$2:$E$5</c:f>
              <c:numCache>
                <c:formatCode>0.00%</c:formatCode>
                <c:ptCount val="4"/>
                <c:pt idx="0">
                  <c:v>0.20449999999999999</c:v>
                </c:pt>
                <c:pt idx="1">
                  <c:v>0.22409999999999999</c:v>
                </c:pt>
                <c:pt idx="2">
                  <c:v>0.16589999999999999</c:v>
                </c:pt>
                <c:pt idx="3">
                  <c:v>0.31219999999999998</c:v>
                </c:pt>
              </c:numCache>
            </c:numRef>
          </c:val>
          <c:extLst>
            <c:ext xmlns:c16="http://schemas.microsoft.com/office/drawing/2014/chart" uri="{C3380CC4-5D6E-409C-BE32-E72D297353CC}">
              <c16:uniqueId val="{00000003-C24F-4C07-B213-E8EB314E314E}"/>
            </c:ext>
          </c:extLst>
        </c:ser>
        <c:dLbls>
          <c:dLblPos val="outEnd"/>
          <c:showLegendKey val="0"/>
          <c:showVal val="1"/>
          <c:showCatName val="0"/>
          <c:showSerName val="0"/>
          <c:showPercent val="0"/>
          <c:showBubbleSize val="0"/>
        </c:dLbls>
        <c:gapWidth val="219"/>
        <c:overlap val="-27"/>
        <c:axId val="806310559"/>
        <c:axId val="1352438480"/>
      </c:barChart>
      <c:catAx>
        <c:axId val="806310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52438480"/>
        <c:crosses val="autoZero"/>
        <c:auto val="1"/>
        <c:lblAlgn val="ctr"/>
        <c:lblOffset val="100"/>
        <c:noMultiLvlLbl val="0"/>
      </c:catAx>
      <c:valAx>
        <c:axId val="13524384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6310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97"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4020879-9015-42e3-9939-209a2d19eea9"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F0879E498716439E78EA2856DA0FAA" ma:contentTypeVersion="19" ma:contentTypeDescription="Create a new document." ma:contentTypeScope="" ma:versionID="f4f89b23c0e625c881f6c37d005cc56e">
  <xsd:schema xmlns:xsd="http://www.w3.org/2001/XMLSchema" xmlns:xs="http://www.w3.org/2001/XMLSchema" xmlns:p="http://schemas.microsoft.com/office/2006/metadata/properties" xmlns:ns1="http://schemas.microsoft.com/sharepoint/v3" xmlns:ns3="85b763f9-0645-4f92-8147-4803da1e732a" xmlns:ns4="04020879-9015-42e3-9939-209a2d19eea9" targetNamespace="http://schemas.microsoft.com/office/2006/metadata/properties" ma:root="true" ma:fieldsID="266302e94ca991b4606a170fbb51b384" ns1:_="" ns3:_="" ns4:_="">
    <xsd:import namespace="http://schemas.microsoft.com/sharepoint/v3"/>
    <xsd:import namespace="85b763f9-0645-4f92-8147-4803da1e732a"/>
    <xsd:import namespace="04020879-9015-42e3-9939-209a2d19eea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AutoKeyPoints" minOccurs="0"/>
                <xsd:element ref="ns4:MediaServiceKeyPoints" minOccurs="0"/>
                <xsd:element ref="ns4:_activity" minOccurs="0"/>
                <xsd:element ref="ns4:MediaServiceOCR" minOccurs="0"/>
                <xsd:element ref="ns4:MediaServiceGenerationTime" minOccurs="0"/>
                <xsd:element ref="ns4:MediaServiceEventHashCode" minOccurs="0"/>
                <xsd:element ref="ns1:_ip_UnifiedCompliancePolicyProperties" minOccurs="0"/>
                <xsd:element ref="ns1:_ip_UnifiedCompliancePolicyUIAction"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b763f9-0645-4f92-8147-4803da1e73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020879-9015-42e3-9939-209a2d19eea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E32327-8FEA-41E9-9978-A13711C9E9CA}">
  <ds:schemaRefs>
    <ds:schemaRef ds:uri="http://schemas.microsoft.com/office/2006/metadata/properties"/>
    <ds:schemaRef ds:uri="http://schemas.microsoft.com/office/infopath/2007/PartnerControls"/>
    <ds:schemaRef ds:uri="04020879-9015-42e3-9939-209a2d19eea9"/>
    <ds:schemaRef ds:uri="http://schemas.microsoft.com/sharepoint/v3"/>
  </ds:schemaRefs>
</ds:datastoreItem>
</file>

<file path=customXml/itemProps2.xml><?xml version="1.0" encoding="utf-8"?>
<ds:datastoreItem xmlns:ds="http://schemas.openxmlformats.org/officeDocument/2006/customXml" ds:itemID="{8F9518BE-E409-42D6-9F94-C19D64556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b763f9-0645-4f92-8147-4803da1e732a"/>
    <ds:schemaRef ds:uri="04020879-9015-42e3-9939-209a2d19e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7FADE0-66F8-4CA3-A3E3-9B73FA8D542D}">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31</TotalTime>
  <Pages>17</Pages>
  <Words>2504</Words>
  <Characters>14276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Jemima (THE SHREWSBURY AND TELFORD HOSPITAL NHS TRUST)</dc:creator>
  <cp:keywords/>
  <dc:description/>
  <cp:lastModifiedBy>ROBINSON, Vicki (THE SHREWSBURY AND TELFORD HOSPITAL NHS TRUST)</cp:lastModifiedBy>
  <cp:revision>8</cp:revision>
  <dcterms:created xsi:type="dcterms:W3CDTF">2025-03-27T16:46:00Z</dcterms:created>
  <dcterms:modified xsi:type="dcterms:W3CDTF">2025-04-14T14:36:00Z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0x010100CFF0879E498716439E78EA2856DA0FAA</vt:lpwstr>
  </property>
</Properties>
</file>